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3800">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2024年度四川省科学技术奖提名公示情况表</w:t>
      </w:r>
    </w:p>
    <w:p w14:paraId="4EE9859F">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（科技进步奖）</w:t>
      </w:r>
    </w:p>
    <w:p w14:paraId="75CD1569">
      <w:pPr>
        <w:spacing w:line="360" w:lineRule="auto"/>
        <w:jc w:val="center"/>
        <w:outlineLvl w:val="1"/>
        <w:rPr>
          <w:rFonts w:ascii="宋体" w:cs="Times New Roman"/>
          <w:b/>
          <w:color w:val="000000"/>
          <w:kern w:val="0"/>
          <w:sz w:val="28"/>
        </w:rPr>
      </w:pPr>
    </w:p>
    <w:p w14:paraId="3239F22B">
      <w:pPr>
        <w:spacing w:line="360" w:lineRule="auto"/>
        <w:jc w:val="center"/>
        <w:outlineLvl w:val="1"/>
        <w:rPr>
          <w:rFonts w:ascii="方正小标宋简体" w:eastAsia="方正小标宋简体"/>
          <w:spacing w:val="-14"/>
          <w:w w:val="85"/>
          <w:sz w:val="44"/>
          <w:szCs w:val="44"/>
        </w:rPr>
      </w:pPr>
      <w:r>
        <w:rPr>
          <w:rFonts w:hint="eastAsia" w:ascii="宋体" w:cs="Times New Roman"/>
          <w:b/>
          <w:color w:val="000000"/>
          <w:kern w:val="0"/>
          <w:sz w:val="28"/>
        </w:rPr>
        <w:t>一、项目基本情况</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9"/>
        <w:gridCol w:w="7360"/>
      </w:tblGrid>
      <w:tr w14:paraId="6E5DF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7DA612F5">
            <w:pPr>
              <w:spacing w:line="390" w:lineRule="exact"/>
              <w:jc w:val="center"/>
              <w:rPr>
                <w:rFonts w:ascii="宋体" w:cs="Times New Roman"/>
                <w:color w:val="000000"/>
              </w:rPr>
            </w:pPr>
            <w:r>
              <w:rPr>
                <w:rFonts w:hint="eastAsia" w:ascii="宋体" w:cs="Times New Roman"/>
                <w:color w:val="000000"/>
              </w:rPr>
              <w:t>项目名称</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68C7ECC3">
            <w:pPr>
              <w:spacing w:line="390" w:lineRule="exact"/>
              <w:rPr>
                <w:rFonts w:ascii="宋体" w:cs="Times New Roman"/>
                <w:color w:val="000000"/>
              </w:rPr>
            </w:pPr>
            <w:r>
              <w:rPr>
                <w:rFonts w:hint="eastAsia" w:ascii="宋体" w:cs="Times New Roman"/>
                <w:color w:val="000000"/>
              </w:rPr>
              <w:t>川东北革命老区中药资源保护与综合开发利用</w:t>
            </w:r>
          </w:p>
        </w:tc>
      </w:tr>
      <w:tr w14:paraId="58EF8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4ECD5E81">
            <w:pPr>
              <w:spacing w:line="390" w:lineRule="exact"/>
              <w:jc w:val="center"/>
              <w:rPr>
                <w:rFonts w:ascii="宋体" w:cs="Times New Roman"/>
                <w:color w:val="000000"/>
              </w:rPr>
            </w:pPr>
            <w:r>
              <w:rPr>
                <w:rFonts w:hint="eastAsia" w:ascii="宋体" w:cs="Times New Roman"/>
                <w:color w:val="000000"/>
              </w:rPr>
              <w:t>主要完成单位</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6AE8FA9C">
            <w:pPr>
              <w:spacing w:line="390" w:lineRule="exact"/>
              <w:rPr>
                <w:rFonts w:ascii="宋体" w:cs="Times New Roman"/>
                <w:color w:val="000000"/>
              </w:rPr>
            </w:pPr>
            <w:r>
              <w:rPr>
                <w:rFonts w:hint="eastAsia" w:ascii="宋体" w:cs="Times New Roman"/>
                <w:color w:val="000000"/>
              </w:rPr>
              <w:t>川北医学院、四川香雪制药有限公司、南充市高坪区盛佛缘中药材种植专业合作社、四川兴华药业有限责任公司、南充市高坪区王辉中药材种植农民专业合作社</w:t>
            </w:r>
          </w:p>
        </w:tc>
      </w:tr>
      <w:tr w14:paraId="6CDA4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14:paraId="0F1A07DF">
            <w:pPr>
              <w:spacing w:line="390" w:lineRule="exact"/>
              <w:jc w:val="center"/>
              <w:rPr>
                <w:rFonts w:ascii="宋体" w:cs="Times New Roman"/>
                <w:color w:val="000000"/>
              </w:rPr>
            </w:pPr>
            <w:r>
              <w:rPr>
                <w:rFonts w:hint="eastAsia" w:ascii="宋体" w:cs="Times New Roman"/>
                <w:color w:val="000000"/>
              </w:rPr>
              <w:t>主要完成人</w:t>
            </w:r>
          </w:p>
        </w:tc>
        <w:tc>
          <w:tcPr>
            <w:tcW w:w="7360" w:type="dxa"/>
            <w:tcBorders>
              <w:top w:val="single" w:color="000000" w:sz="4" w:space="0"/>
              <w:left w:val="single" w:color="000000" w:sz="4" w:space="0"/>
              <w:bottom w:val="single" w:color="000000" w:sz="4" w:space="0"/>
              <w:right w:val="single" w:color="000000" w:sz="4" w:space="0"/>
            </w:tcBorders>
            <w:noWrap/>
            <w:vAlign w:val="center"/>
          </w:tcPr>
          <w:p w14:paraId="71ECCA0D">
            <w:pPr>
              <w:spacing w:line="390" w:lineRule="exact"/>
              <w:rPr>
                <w:rFonts w:ascii="宋体" w:cs="Times New Roman"/>
                <w:color w:val="000000"/>
              </w:rPr>
            </w:pPr>
            <w:r>
              <w:rPr>
                <w:rFonts w:hint="eastAsia" w:ascii="宋体" w:cs="Times New Roman"/>
                <w:color w:val="000000"/>
              </w:rPr>
              <w:t>张帆、李生茂、田春梅、罗中华、杨春艳、杨琴</w:t>
            </w:r>
          </w:p>
        </w:tc>
      </w:tr>
      <w:tr w14:paraId="79D5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1" w:hRule="atLeast"/>
        </w:trPr>
        <w:tc>
          <w:tcPr>
            <w:tcW w:w="1609" w:type="dxa"/>
            <w:tcBorders>
              <w:top w:val="single" w:color="auto" w:sz="4" w:space="0"/>
              <w:left w:val="single" w:color="000000" w:sz="4" w:space="0"/>
              <w:bottom w:val="single" w:color="000000" w:sz="4" w:space="0"/>
              <w:right w:val="single" w:color="000000" w:sz="4" w:space="0"/>
            </w:tcBorders>
            <w:noWrap/>
            <w:vAlign w:val="center"/>
          </w:tcPr>
          <w:p w14:paraId="3A3E7909">
            <w:pPr>
              <w:spacing w:line="390" w:lineRule="exact"/>
              <w:jc w:val="center"/>
              <w:rPr>
                <w:rFonts w:ascii="宋体" w:cs="Times New Roman"/>
                <w:color w:val="000000"/>
              </w:rPr>
            </w:pPr>
            <w:r>
              <w:rPr>
                <w:rFonts w:hint="eastAsia" w:ascii="宋体" w:cs="Times New Roman"/>
                <w:color w:val="000000"/>
              </w:rPr>
              <w:t>项目简介</w:t>
            </w:r>
          </w:p>
        </w:tc>
        <w:tc>
          <w:tcPr>
            <w:tcW w:w="7360" w:type="dxa"/>
            <w:tcBorders>
              <w:top w:val="single" w:color="auto" w:sz="4" w:space="0"/>
              <w:left w:val="single" w:color="000000" w:sz="4" w:space="0"/>
              <w:bottom w:val="single" w:color="000000" w:sz="4" w:space="0"/>
              <w:right w:val="single" w:color="000000" w:sz="4" w:space="0"/>
            </w:tcBorders>
            <w:noWrap/>
          </w:tcPr>
          <w:p w14:paraId="1902A3FB">
            <w:pPr>
              <w:pStyle w:val="5"/>
              <w:spacing w:after="0"/>
              <w:ind w:firstLine="420"/>
              <w:rPr>
                <w:sz w:val="21"/>
                <w:szCs w:val="21"/>
              </w:rPr>
            </w:pPr>
            <w:r>
              <w:rPr>
                <w:rFonts w:hint="eastAsia"/>
                <w:sz w:val="21"/>
                <w:szCs w:val="21"/>
              </w:rPr>
              <w:t>习近平总书记指出：“让老区人民过上好日子，是我们党的庄严承诺，各级党委和政府要继续加大对革命老区的支持，形成促进革命老区加快发展的强大合力。”老区要发展，产业是关键。四川东部的丘陵山地，独特的地理位置和自然环境孕育了丰富的道地药材资源，如半夏、佛手、益母草和乌头。然而，与资源的丰富性相比，中药资源开发利用存在技术难题：中药资源种类及分布缺乏系统调查；主要药材生产加工工艺亟待提升；产品附加值和市场竞争力较低，缺乏标志性成果。</w:t>
            </w:r>
          </w:p>
          <w:p w14:paraId="5AE5A041">
            <w:pPr>
              <w:pStyle w:val="5"/>
              <w:spacing w:after="0"/>
              <w:ind w:firstLine="420"/>
              <w:rPr>
                <w:sz w:val="21"/>
                <w:szCs w:val="21"/>
              </w:rPr>
            </w:pPr>
            <w:r>
              <w:rPr>
                <w:rFonts w:hint="eastAsia"/>
                <w:sz w:val="21"/>
                <w:szCs w:val="21"/>
              </w:rPr>
              <w:t>项目立足川东北区域，以市场需求为导向，针对区域内大宗道地药材存在的共性技术瓶颈，重点突破半夏、佛手、益母草和乌头的种植、加工、质量评价关键技术，建立高效、安全、可持续的产业化模式。</w:t>
            </w:r>
          </w:p>
          <w:p w14:paraId="47053FB3">
            <w:pPr>
              <w:pStyle w:val="5"/>
              <w:spacing w:after="0"/>
              <w:ind w:firstLine="420"/>
              <w:rPr>
                <w:sz w:val="21"/>
                <w:szCs w:val="21"/>
              </w:rPr>
            </w:pPr>
            <w:r>
              <w:rPr>
                <w:rFonts w:hint="eastAsia"/>
                <w:sz w:val="21"/>
                <w:szCs w:val="21"/>
              </w:rPr>
              <w:t>项目在国家、省、市多个课题支持下，针对川东北地区药材资源家底不清、产品生产加工工艺关键技术落后与质量评价关键指标缺失问题，经过10余年的系统研究和实践，走遍南充、达州、巴中、广安等革命老区，在中药材资源的普查与评价、道地药材的加工生产工艺和质量标准取得了创新突破。主要技术创新如下：</w:t>
            </w:r>
          </w:p>
          <w:p w14:paraId="4C8D2FE2">
            <w:pPr>
              <w:pStyle w:val="5"/>
              <w:spacing w:after="0"/>
              <w:ind w:firstLine="420"/>
              <w:rPr>
                <w:sz w:val="21"/>
                <w:szCs w:val="21"/>
              </w:rPr>
            </w:pPr>
            <w:r>
              <w:rPr>
                <w:rFonts w:hint="eastAsia"/>
                <w:sz w:val="21"/>
                <w:szCs w:val="21"/>
              </w:rPr>
              <w:t>一、建立了川东北道地中药材资源全面普查与评价新模式，完成了1000余个药材样方的测量，采集野生药材800余种，收集80余种重点药材，系统厘清了区域内道地中药材的品种、分布、蕴藏量、生产加工工艺及临床应用情况，重构了川东北中药资源分布区划和可利用性策略。</w:t>
            </w:r>
          </w:p>
          <w:p w14:paraId="12B743D5">
            <w:pPr>
              <w:pStyle w:val="5"/>
              <w:spacing w:after="0"/>
              <w:ind w:firstLine="420"/>
              <w:rPr>
                <w:sz w:val="21"/>
                <w:szCs w:val="21"/>
              </w:rPr>
            </w:pPr>
            <w:r>
              <w:rPr>
                <w:rFonts w:hint="eastAsia"/>
                <w:sz w:val="21"/>
                <w:szCs w:val="21"/>
              </w:rPr>
              <w:t>二、首次采用超声辅助提取技术，优化半夏饮片传统加工工艺，显著提高生半夏和清半夏的有机酸含量（分别达0.53%和0.37%），制定4项企业标准及授权1项发明专利、1项实用新型专利，实现了工业化应用。</w:t>
            </w:r>
          </w:p>
          <w:p w14:paraId="2B7471AD">
            <w:pPr>
              <w:pStyle w:val="5"/>
              <w:spacing w:after="0"/>
              <w:ind w:firstLine="420"/>
              <w:rPr>
                <w:sz w:val="21"/>
                <w:szCs w:val="21"/>
              </w:rPr>
            </w:pPr>
            <w:r>
              <w:rPr>
                <w:rFonts w:hint="eastAsia"/>
                <w:sz w:val="21"/>
                <w:szCs w:val="21"/>
              </w:rPr>
              <w:t>三、为确保佛手产品的质量和安全性，以LC-MSn及GC-MSn为手段，采用快速高效的超声和酶辅助水蒸汽蒸馏技术优化有效成分提取，建立多成分同步质控体系，有效提高佛手产品的活性成分含量，授权1项实用新型专利。</w:t>
            </w:r>
          </w:p>
          <w:p w14:paraId="41D82921">
            <w:pPr>
              <w:pStyle w:val="5"/>
              <w:spacing w:after="0"/>
              <w:ind w:firstLine="420"/>
              <w:rPr>
                <w:sz w:val="21"/>
                <w:szCs w:val="21"/>
              </w:rPr>
            </w:pPr>
            <w:r>
              <w:rPr>
                <w:rFonts w:hint="eastAsia"/>
                <w:sz w:val="21"/>
                <w:szCs w:val="21"/>
              </w:rPr>
              <w:t>四、开发并优化复方益母草口服液的提取工艺，显著提高其药效至90%以上，填补了中药治疗母畜产后综合症的空白，授权1项发明专利，实现经济收益162.07万元，新增就业岗位12个。</w:t>
            </w:r>
          </w:p>
          <w:p w14:paraId="1FC84FC6">
            <w:pPr>
              <w:pStyle w:val="5"/>
              <w:spacing w:after="0"/>
              <w:ind w:firstLine="420"/>
              <w:rPr>
                <w:sz w:val="21"/>
                <w:szCs w:val="21"/>
              </w:rPr>
            </w:pPr>
            <w:r>
              <w:rPr>
                <w:rFonts w:hint="eastAsia"/>
                <w:sz w:val="21"/>
                <w:szCs w:val="21"/>
              </w:rPr>
              <w:t>五、通过代谢组学技术，研究乌头类药材毒性代谢标志物，开发氨基色谱柱分离乌头类生物碱的新方法，深入研究其对白血病细胞的抑制作用及机制，授权2项发明专利。</w:t>
            </w:r>
          </w:p>
          <w:p w14:paraId="17C6604D">
            <w:pPr>
              <w:pStyle w:val="5"/>
              <w:spacing w:after="0"/>
              <w:ind w:firstLine="420"/>
              <w:rPr>
                <w:sz w:val="21"/>
                <w:szCs w:val="21"/>
              </w:rPr>
            </w:pPr>
            <w:r>
              <w:rPr>
                <w:rFonts w:hint="eastAsia"/>
                <w:sz w:val="21"/>
                <w:szCs w:val="21"/>
              </w:rPr>
              <w:t>项目促进了中药全产业链模式的构建与推广，实现半夏、佛手、益母草等药材的种植、加工、产品开发及市场销售的全产业链联动，三个药材年产量达1100吨，生产加工中药产品480吨，总产值达4200万元，显著提升区域经济效益和农业产业结构优化水平。项目获授权4项发明专利、2项实用新型，在国内外知名期刊发表科研论文70余篇（SCI收录29篇），累计被引用660余次，制定生产标准4项，培养人才300余位，增加就业岗位80余个，带动周边600多人就业，经济社会和生态环境效益显著。</w:t>
            </w:r>
          </w:p>
          <w:p w14:paraId="543F0BE0">
            <w:pPr>
              <w:pStyle w:val="5"/>
              <w:spacing w:after="0"/>
              <w:ind w:firstLine="0" w:firstLineChars="0"/>
              <w:rPr>
                <w:sz w:val="21"/>
                <w:szCs w:val="21"/>
              </w:rPr>
            </w:pPr>
            <w:r>
              <w:rPr>
                <w:rFonts w:hint="eastAsia"/>
                <w:sz w:val="21"/>
                <w:szCs w:val="21"/>
              </w:rPr>
              <w:t>中国工程院院士、中国中医科学院院长黄璐琦对四川中药资源普查项目的评价 “极大地丰富了四川省中医药学文献宝库。必将对四川及全国的中药资源保护与利用、科研、教学、生产等工作发挥中药的指导作用”。项目成果总体达到国内先进水平，其中中药资源保护达到国际水平。</w:t>
            </w:r>
          </w:p>
        </w:tc>
      </w:tr>
    </w:tbl>
    <w:p w14:paraId="47301278">
      <w:pPr>
        <w:spacing w:line="360" w:lineRule="auto"/>
        <w:rPr>
          <w:rFonts w:ascii="宋体" w:cs="Times New Roman"/>
          <w:b/>
          <w:bCs/>
          <w:color w:val="000000"/>
          <w:kern w:val="0"/>
          <w:sz w:val="28"/>
        </w:rPr>
      </w:pPr>
    </w:p>
    <w:p w14:paraId="0E8CC5C1">
      <w:pPr>
        <w:spacing w:line="360" w:lineRule="auto"/>
        <w:rPr>
          <w:rFonts w:ascii="宋体" w:cs="Times New Roman"/>
          <w:b/>
          <w:bCs/>
          <w:color w:val="000000"/>
          <w:kern w:val="0"/>
          <w:sz w:val="28"/>
        </w:rPr>
      </w:pPr>
    </w:p>
    <w:p w14:paraId="2D20F704">
      <w:pPr>
        <w:spacing w:line="360" w:lineRule="auto"/>
        <w:jc w:val="center"/>
        <w:rPr>
          <w:rFonts w:ascii="宋体" w:cs="Times New Roman"/>
          <w:b/>
          <w:color w:val="000000"/>
          <w:kern w:val="0"/>
          <w:sz w:val="28"/>
        </w:rPr>
      </w:pPr>
      <w:r>
        <w:rPr>
          <w:rFonts w:hint="eastAsia" w:ascii="宋体" w:cs="Times New Roman"/>
          <w:b/>
          <w:bCs/>
          <w:color w:val="000000"/>
          <w:kern w:val="0"/>
          <w:sz w:val="28"/>
        </w:rPr>
        <w:t>二</w:t>
      </w:r>
      <w:r>
        <w:rPr>
          <w:rFonts w:ascii="宋体" w:cs="Times New Roman"/>
          <w:b/>
          <w:bCs/>
          <w:color w:val="000000"/>
          <w:kern w:val="0"/>
          <w:sz w:val="28"/>
        </w:rPr>
        <w:t>、</w:t>
      </w:r>
      <w:r>
        <w:rPr>
          <w:rFonts w:ascii="宋体" w:cs="Times New Roman"/>
          <w:b/>
          <w:color w:val="000000"/>
          <w:kern w:val="0"/>
          <w:sz w:val="28"/>
        </w:rPr>
        <w:t>提名</w:t>
      </w:r>
      <w:r>
        <w:rPr>
          <w:rFonts w:hint="eastAsia" w:ascii="宋体" w:cs="Times New Roman"/>
          <w:b/>
          <w:color w:val="000000"/>
          <w:kern w:val="0"/>
          <w:sz w:val="28"/>
        </w:rPr>
        <w:t>单位</w:t>
      </w:r>
      <w:r>
        <w:rPr>
          <w:rFonts w:ascii="宋体" w:cs="Times New Roman"/>
          <w:b/>
          <w:color w:val="000000"/>
          <w:kern w:val="0"/>
          <w:sz w:val="28"/>
        </w:rPr>
        <w:t>意见</w:t>
      </w:r>
    </w:p>
    <w:tbl>
      <w:tblPr>
        <w:tblStyle w:val="10"/>
        <w:tblW w:w="89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481"/>
        <w:gridCol w:w="1091"/>
        <w:gridCol w:w="2114"/>
      </w:tblGrid>
      <w:tr w14:paraId="4ED58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8" w:space="0"/>
              <w:left w:val="single" w:color="auto" w:sz="8" w:space="0"/>
              <w:bottom w:val="single" w:color="auto" w:sz="8" w:space="0"/>
              <w:right w:val="single" w:color="auto" w:sz="8" w:space="0"/>
            </w:tcBorders>
            <w:noWrap/>
            <w:vAlign w:val="center"/>
          </w:tcPr>
          <w:p w14:paraId="6EE57A5B">
            <w:pPr>
              <w:jc w:val="center"/>
              <w:rPr>
                <w:rFonts w:ascii="宋体" w:cs="Times New Roman"/>
                <w:color w:val="000000"/>
              </w:rPr>
            </w:pPr>
            <w:r>
              <w:rPr>
                <w:rFonts w:hint="eastAsia" w:ascii="宋体" w:cs="Times New Roman"/>
                <w:color w:val="000000"/>
              </w:rPr>
              <w:t>提名单位</w:t>
            </w:r>
          </w:p>
        </w:tc>
        <w:tc>
          <w:tcPr>
            <w:tcW w:w="7686" w:type="dxa"/>
            <w:gridSpan w:val="3"/>
            <w:tcBorders>
              <w:top w:val="single" w:color="auto" w:sz="8" w:space="0"/>
              <w:left w:val="single" w:color="auto" w:sz="8" w:space="0"/>
              <w:bottom w:val="single" w:color="auto" w:sz="8" w:space="0"/>
              <w:right w:val="single" w:color="auto" w:sz="8" w:space="0"/>
            </w:tcBorders>
            <w:noWrap/>
            <w:vAlign w:val="center"/>
          </w:tcPr>
          <w:p w14:paraId="36DBDCA2">
            <w:pPr>
              <w:ind w:firstLine="420" w:firstLineChars="200"/>
              <w:jc w:val="center"/>
              <w:rPr>
                <w:rFonts w:ascii="宋体" w:cs="Times New Roman"/>
                <w:color w:val="000000"/>
              </w:rPr>
            </w:pPr>
            <w:r>
              <w:rPr>
                <w:rFonts w:hint="eastAsia" w:ascii="宋体" w:cs="Times New Roman"/>
                <w:color w:val="000000"/>
                <w:lang w:val="en-US" w:eastAsia="zh-CN"/>
              </w:rPr>
              <w:t>四川省教育厅</w:t>
            </w:r>
          </w:p>
        </w:tc>
      </w:tr>
      <w:tr w14:paraId="729B2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78734EA3">
            <w:pPr>
              <w:jc w:val="center"/>
              <w:rPr>
                <w:rFonts w:ascii="宋体" w:cs="Times New Roman"/>
                <w:color w:val="000000"/>
              </w:rPr>
            </w:pPr>
            <w:r>
              <w:rPr>
                <w:rFonts w:hint="eastAsia" w:ascii="宋体" w:cs="Times New Roman"/>
                <w:color w:val="000000"/>
              </w:rPr>
              <w:t>通讯地址</w:t>
            </w:r>
          </w:p>
        </w:tc>
        <w:tc>
          <w:tcPr>
            <w:tcW w:w="4481" w:type="dxa"/>
            <w:tcBorders>
              <w:top w:val="single" w:color="auto" w:sz="4" w:space="0"/>
              <w:left w:val="single" w:color="auto" w:sz="8" w:space="0"/>
              <w:bottom w:val="single" w:color="auto" w:sz="8" w:space="0"/>
              <w:right w:val="single" w:color="auto" w:sz="8" w:space="0"/>
            </w:tcBorders>
            <w:noWrap/>
            <w:vAlign w:val="center"/>
          </w:tcPr>
          <w:p w14:paraId="7C483026">
            <w:pPr>
              <w:ind w:firstLine="420" w:firstLineChars="200"/>
              <w:jc w:val="center"/>
              <w:rPr>
                <w:rFonts w:ascii="宋体" w:cs="Times New Roman"/>
                <w:color w:val="000000"/>
              </w:rPr>
            </w:pPr>
            <w:r>
              <w:rPr>
                <w:rFonts w:hint="eastAsia" w:ascii="宋体" w:cs="Times New Roman"/>
                <w:color w:val="000000"/>
              </w:rPr>
              <w:t>四川省成都市青羊区陕西街26号</w:t>
            </w:r>
          </w:p>
        </w:tc>
        <w:tc>
          <w:tcPr>
            <w:tcW w:w="1091" w:type="dxa"/>
            <w:tcBorders>
              <w:top w:val="single" w:color="auto" w:sz="4" w:space="0"/>
              <w:left w:val="single" w:color="auto" w:sz="8" w:space="0"/>
              <w:bottom w:val="single" w:color="auto" w:sz="8" w:space="0"/>
              <w:right w:val="single" w:color="auto" w:sz="8" w:space="0"/>
            </w:tcBorders>
            <w:noWrap/>
            <w:vAlign w:val="center"/>
          </w:tcPr>
          <w:p w14:paraId="051C5499">
            <w:pPr>
              <w:jc w:val="center"/>
              <w:rPr>
                <w:rFonts w:ascii="宋体" w:cs="Times New Roman"/>
                <w:color w:val="000000"/>
              </w:rPr>
            </w:pPr>
            <w:r>
              <w:rPr>
                <w:rFonts w:hint="eastAsia" w:ascii="宋体" w:cs="Times New Roman"/>
                <w:color w:val="000000"/>
              </w:rPr>
              <w:t>邮政编码</w:t>
            </w:r>
          </w:p>
        </w:tc>
        <w:tc>
          <w:tcPr>
            <w:tcW w:w="2114" w:type="dxa"/>
            <w:tcBorders>
              <w:top w:val="single" w:color="auto" w:sz="4" w:space="0"/>
              <w:left w:val="single" w:color="auto" w:sz="8" w:space="0"/>
              <w:bottom w:val="single" w:color="auto" w:sz="8" w:space="0"/>
              <w:right w:val="single" w:color="auto" w:sz="8" w:space="0"/>
            </w:tcBorders>
            <w:noWrap/>
            <w:vAlign w:val="center"/>
          </w:tcPr>
          <w:p w14:paraId="26CD1064">
            <w:pPr>
              <w:jc w:val="center"/>
              <w:rPr>
                <w:rFonts w:ascii="宋体" w:cs="Times New Roman"/>
                <w:color w:val="000000"/>
              </w:rPr>
            </w:pPr>
            <w:r>
              <w:rPr>
                <w:rFonts w:hint="eastAsia" w:ascii="Times New Roman" w:hAnsi="Times New Roman" w:cs="Times New Roman"/>
                <w:color w:val="000000"/>
              </w:rPr>
              <w:t>610041</w:t>
            </w:r>
          </w:p>
        </w:tc>
      </w:tr>
      <w:tr w14:paraId="2F7FF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756DF4C9">
            <w:pPr>
              <w:jc w:val="center"/>
              <w:rPr>
                <w:rFonts w:ascii="宋体" w:cs="Times New Roman"/>
                <w:color w:val="000000"/>
              </w:rPr>
            </w:pPr>
            <w:r>
              <w:rPr>
                <w:rFonts w:hint="eastAsia" w:ascii="宋体" w:cs="Times New Roman"/>
                <w:color w:val="000000"/>
              </w:rPr>
              <w:t>联 系 人</w:t>
            </w:r>
          </w:p>
        </w:tc>
        <w:tc>
          <w:tcPr>
            <w:tcW w:w="4481" w:type="dxa"/>
            <w:tcBorders>
              <w:top w:val="single" w:color="auto" w:sz="4" w:space="0"/>
              <w:left w:val="single" w:color="auto" w:sz="8" w:space="0"/>
              <w:bottom w:val="single" w:color="auto" w:sz="8" w:space="0"/>
              <w:right w:val="single" w:color="auto" w:sz="8" w:space="0"/>
            </w:tcBorders>
            <w:noWrap/>
            <w:vAlign w:val="center"/>
          </w:tcPr>
          <w:p w14:paraId="102AD114">
            <w:pPr>
              <w:ind w:firstLine="420" w:firstLineChars="200"/>
              <w:jc w:val="center"/>
              <w:rPr>
                <w:rFonts w:ascii="宋体" w:cs="Times New Roman"/>
                <w:color w:val="000000"/>
              </w:rPr>
            </w:pPr>
            <w:r>
              <w:rPr>
                <w:rFonts w:hint="eastAsia" w:ascii="宋体" w:cs="Times New Roman"/>
                <w:color w:val="000000"/>
              </w:rPr>
              <w:t>刘东</w:t>
            </w:r>
          </w:p>
        </w:tc>
        <w:tc>
          <w:tcPr>
            <w:tcW w:w="1091" w:type="dxa"/>
            <w:tcBorders>
              <w:top w:val="single" w:color="auto" w:sz="4" w:space="0"/>
              <w:left w:val="single" w:color="auto" w:sz="8" w:space="0"/>
              <w:bottom w:val="single" w:color="auto" w:sz="8" w:space="0"/>
              <w:right w:val="single" w:color="auto" w:sz="8" w:space="0"/>
            </w:tcBorders>
            <w:noWrap/>
            <w:vAlign w:val="center"/>
          </w:tcPr>
          <w:p w14:paraId="21041D94">
            <w:pPr>
              <w:jc w:val="center"/>
              <w:rPr>
                <w:rFonts w:ascii="宋体" w:cs="Times New Roman"/>
                <w:color w:val="000000"/>
              </w:rPr>
            </w:pPr>
            <w:r>
              <w:rPr>
                <w:rFonts w:hint="eastAsia" w:ascii="宋体" w:cs="Times New Roman"/>
                <w:color w:val="000000"/>
              </w:rPr>
              <w:t>联系电话</w:t>
            </w:r>
          </w:p>
        </w:tc>
        <w:tc>
          <w:tcPr>
            <w:tcW w:w="2114" w:type="dxa"/>
            <w:tcBorders>
              <w:top w:val="single" w:color="auto" w:sz="4" w:space="0"/>
              <w:left w:val="single" w:color="auto" w:sz="8" w:space="0"/>
              <w:bottom w:val="single" w:color="auto" w:sz="8" w:space="0"/>
              <w:right w:val="single" w:color="auto" w:sz="8" w:space="0"/>
            </w:tcBorders>
            <w:noWrap/>
            <w:vAlign w:val="center"/>
          </w:tcPr>
          <w:p w14:paraId="63A10BC0">
            <w:pPr>
              <w:jc w:val="center"/>
              <w:rPr>
                <w:rFonts w:ascii="宋体" w:cs="Times New Roman"/>
                <w:color w:val="000000"/>
              </w:rPr>
            </w:pPr>
            <w:r>
              <w:rPr>
                <w:rFonts w:hint="eastAsia" w:ascii="Times New Roman" w:hAnsi="Times New Roman" w:cs="Times New Roman"/>
                <w:color w:val="000000"/>
              </w:rPr>
              <w:t>（028）86116034</w:t>
            </w:r>
          </w:p>
        </w:tc>
      </w:tr>
      <w:tr w14:paraId="509E5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131C332C">
            <w:pPr>
              <w:jc w:val="center"/>
              <w:rPr>
                <w:rFonts w:ascii="宋体" w:cs="Times New Roman"/>
                <w:color w:val="000000"/>
              </w:rPr>
            </w:pPr>
            <w:r>
              <w:rPr>
                <w:rFonts w:hint="eastAsia" w:ascii="宋体" w:cs="Times New Roman"/>
                <w:color w:val="000000"/>
              </w:rPr>
              <w:t>电子邮箱</w:t>
            </w:r>
          </w:p>
        </w:tc>
        <w:tc>
          <w:tcPr>
            <w:tcW w:w="4481" w:type="dxa"/>
            <w:tcBorders>
              <w:top w:val="single" w:color="auto" w:sz="4" w:space="0"/>
              <w:left w:val="single" w:color="auto" w:sz="8" w:space="0"/>
              <w:bottom w:val="single" w:color="auto" w:sz="8" w:space="0"/>
              <w:right w:val="single" w:color="auto" w:sz="8" w:space="0"/>
            </w:tcBorders>
            <w:noWrap/>
            <w:vAlign w:val="center"/>
          </w:tcPr>
          <w:p w14:paraId="22C7042F">
            <w:pPr>
              <w:ind w:firstLine="420" w:firstLineChars="200"/>
              <w:jc w:val="center"/>
              <w:rPr>
                <w:rFonts w:ascii="宋体" w:cs="Times New Roman"/>
                <w:color w:val="000000"/>
              </w:rPr>
            </w:pPr>
            <w:r>
              <w:rPr>
                <w:rFonts w:hint="eastAsia" w:ascii="Times New Roman" w:hAnsi="Times New Roman" w:cs="Times New Roman"/>
                <w:color w:val="000000"/>
              </w:rPr>
              <w:t>kjc8611</w:t>
            </w:r>
            <w:r>
              <w:rPr>
                <w:rFonts w:hint="eastAsia" w:ascii="Times New Roman" w:hAnsi="Times New Roman" w:cs="Times New Roman"/>
                <w:color w:val="000000"/>
                <w:lang w:val="en-US" w:eastAsia="zh-CN"/>
              </w:rPr>
              <w:t>6034</w:t>
            </w:r>
            <w:bookmarkStart w:id="0" w:name="_GoBack"/>
            <w:bookmarkEnd w:id="0"/>
            <w:r>
              <w:rPr>
                <w:rFonts w:hint="eastAsia" w:ascii="Times New Roman" w:hAnsi="Times New Roman" w:cs="Times New Roman"/>
                <w:color w:val="000000"/>
              </w:rPr>
              <w:t>@163.com</w:t>
            </w:r>
          </w:p>
        </w:tc>
        <w:tc>
          <w:tcPr>
            <w:tcW w:w="1091" w:type="dxa"/>
            <w:tcBorders>
              <w:top w:val="single" w:color="auto" w:sz="4" w:space="0"/>
              <w:left w:val="single" w:color="auto" w:sz="8" w:space="0"/>
              <w:bottom w:val="single" w:color="auto" w:sz="8" w:space="0"/>
              <w:right w:val="single" w:color="auto" w:sz="8" w:space="0"/>
            </w:tcBorders>
            <w:noWrap/>
            <w:vAlign w:val="center"/>
          </w:tcPr>
          <w:p w14:paraId="2BF69521">
            <w:pPr>
              <w:jc w:val="center"/>
              <w:rPr>
                <w:rFonts w:ascii="宋体" w:cs="Times New Roman"/>
                <w:color w:val="000000"/>
              </w:rPr>
            </w:pPr>
            <w:r>
              <w:rPr>
                <w:rFonts w:hint="eastAsia" w:ascii="宋体" w:cs="Times New Roman"/>
                <w:color w:val="000000"/>
              </w:rPr>
              <w:t>传    真</w:t>
            </w:r>
          </w:p>
        </w:tc>
        <w:tc>
          <w:tcPr>
            <w:tcW w:w="2114" w:type="dxa"/>
            <w:tcBorders>
              <w:top w:val="single" w:color="auto" w:sz="4" w:space="0"/>
              <w:left w:val="single" w:color="auto" w:sz="8" w:space="0"/>
              <w:bottom w:val="single" w:color="auto" w:sz="8" w:space="0"/>
              <w:right w:val="single" w:color="auto" w:sz="8" w:space="0"/>
            </w:tcBorders>
            <w:noWrap/>
            <w:vAlign w:val="center"/>
          </w:tcPr>
          <w:p w14:paraId="07C8A714">
            <w:pPr>
              <w:jc w:val="center"/>
              <w:rPr>
                <w:rFonts w:ascii="宋体" w:cs="Times New Roman"/>
                <w:color w:val="000000"/>
              </w:rPr>
            </w:pPr>
            <w:r>
              <w:rPr>
                <w:rFonts w:hint="eastAsia" w:ascii="Times New Roman" w:hAnsi="Times New Roman" w:cs="Times New Roman"/>
                <w:color w:val="000000"/>
              </w:rPr>
              <w:t>（028）86116034</w:t>
            </w:r>
          </w:p>
        </w:tc>
      </w:tr>
      <w:tr w14:paraId="1E503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gridSpan w:val="4"/>
            <w:tcBorders>
              <w:top w:val="single" w:color="auto" w:sz="4" w:space="0"/>
              <w:left w:val="single" w:color="auto" w:sz="8" w:space="0"/>
              <w:bottom w:val="single" w:color="auto" w:sz="8" w:space="0"/>
              <w:right w:val="single" w:color="auto" w:sz="8" w:space="0"/>
            </w:tcBorders>
            <w:noWrap/>
          </w:tcPr>
          <w:p w14:paraId="624C231C">
            <w:pPr>
              <w:rPr>
                <w:rFonts w:ascii="宋体" w:cs="Times New Roman"/>
                <w:color w:val="000000"/>
                <w:szCs w:val="20"/>
              </w:rPr>
            </w:pPr>
            <w:r>
              <w:rPr>
                <w:rFonts w:hint="eastAsia" w:ascii="宋体" w:cs="Times New Roman"/>
                <w:color w:val="000000"/>
                <w:szCs w:val="20"/>
              </w:rPr>
              <w:t>提名意见：</w:t>
            </w:r>
          </w:p>
          <w:p w14:paraId="6EF0487B">
            <w:pPr>
              <w:spacing w:line="360" w:lineRule="auto"/>
              <w:ind w:firstLine="457" w:firstLineChars="218"/>
              <w:rPr>
                <w:rFonts w:hint="eastAsia" w:ascii="宋体" w:hAnsi="宋体"/>
                <w:szCs w:val="21"/>
              </w:rPr>
            </w:pPr>
            <w:r>
              <w:rPr>
                <w:rFonts w:hint="eastAsia" w:ascii="宋体" w:hAnsi="宋体"/>
                <w:szCs w:val="21"/>
              </w:rPr>
              <w:t>该成果针对四川东部中药资源开发利用存在药材资源种类及分布缺乏系统评价、主要药材生产加工工艺亟待提升、质量控制关键指标缺失等技术难题，攻关研究形成了活性成分分析、加工工艺、质量控制关键技术，支撑了中药资源安全、高效、可持续的产品化模式。</w:t>
            </w:r>
          </w:p>
          <w:p w14:paraId="3C830183">
            <w:pPr>
              <w:spacing w:line="360" w:lineRule="auto"/>
              <w:ind w:firstLine="457" w:firstLineChars="218"/>
              <w:rPr>
                <w:rFonts w:hint="eastAsia" w:ascii="宋体" w:hAnsi="宋体"/>
                <w:szCs w:val="21"/>
              </w:rPr>
            </w:pPr>
            <w:r>
              <w:rPr>
                <w:rFonts w:hint="eastAsia" w:ascii="宋体" w:hAnsi="宋体"/>
                <w:szCs w:val="21"/>
              </w:rPr>
              <w:t>该成果的主要科技创新点如下：</w:t>
            </w:r>
          </w:p>
          <w:p w14:paraId="3F038D1D">
            <w:pPr>
              <w:spacing w:line="360" w:lineRule="auto"/>
              <w:ind w:firstLine="457" w:firstLineChars="218"/>
              <w:rPr>
                <w:rFonts w:hint="eastAsia" w:ascii="宋体" w:hAnsi="宋体"/>
                <w:szCs w:val="21"/>
              </w:rPr>
            </w:pPr>
            <w:r>
              <w:rPr>
                <w:rFonts w:hint="eastAsia" w:ascii="宋体" w:hAnsi="宋体"/>
                <w:szCs w:val="21"/>
              </w:rPr>
              <w:t>（1）建立了川东北道地中药材资源全面普查与评价新模式，厘清了区域内道地中药材的品种、分布、蕴藏量、生产加工工艺及临床应用情况，重构了川东北中药资源分布区划和可利用性策略。</w:t>
            </w:r>
          </w:p>
          <w:p w14:paraId="19966456">
            <w:pPr>
              <w:spacing w:line="360" w:lineRule="auto"/>
              <w:ind w:firstLine="457" w:firstLineChars="218"/>
              <w:rPr>
                <w:rFonts w:hint="eastAsia" w:ascii="宋体" w:hAnsi="宋体" w:eastAsia="宋体"/>
                <w:szCs w:val="21"/>
                <w:lang w:eastAsia="zh-CN"/>
              </w:rPr>
            </w:pPr>
            <w:r>
              <w:rPr>
                <w:rFonts w:hint="eastAsia" w:ascii="宋体" w:hAnsi="宋体"/>
                <w:szCs w:val="21"/>
              </w:rPr>
              <w:t>（2）首次采用电位返滴定法结合超声辅助提取技术，优化半夏饮片传统加工和炮制工艺</w:t>
            </w:r>
            <w:r>
              <w:rPr>
                <w:rFonts w:hint="eastAsia" w:ascii="宋体" w:hAnsi="宋体"/>
                <w:szCs w:val="21"/>
                <w:lang w:eastAsia="zh-CN"/>
              </w:rPr>
              <w:t>；</w:t>
            </w:r>
            <w:r>
              <w:rPr>
                <w:rFonts w:hint="eastAsia" w:ascii="宋体" w:hAnsi="宋体"/>
                <w:szCs w:val="21"/>
              </w:rPr>
              <w:t>制定半夏纯化工艺和生物碱含量测定的鉴定条件。首次以LC-MS</w:t>
            </w:r>
            <w:r>
              <w:rPr>
                <w:rFonts w:hint="eastAsia" w:ascii="宋体" w:hAnsi="宋体"/>
                <w:szCs w:val="21"/>
                <w:vertAlign w:val="superscript"/>
              </w:rPr>
              <w:t>n</w:t>
            </w:r>
            <w:r>
              <w:rPr>
                <w:rFonts w:hint="eastAsia" w:ascii="宋体" w:hAnsi="宋体"/>
                <w:szCs w:val="21"/>
              </w:rPr>
              <w:t>及GC-MS</w:t>
            </w:r>
            <w:r>
              <w:rPr>
                <w:rFonts w:hint="eastAsia" w:ascii="宋体" w:hAnsi="宋体"/>
                <w:szCs w:val="21"/>
                <w:vertAlign w:val="superscript"/>
              </w:rPr>
              <w:t>n</w:t>
            </w:r>
            <w:r>
              <w:rPr>
                <w:rFonts w:hint="eastAsia" w:ascii="宋体" w:hAnsi="宋体"/>
                <w:szCs w:val="21"/>
              </w:rPr>
              <w:t>为手段，有效提高佛手产品的活性成分含量，建立了多成分同步质控体系一评多测技术。开创性地重组复方益母草口服液配方，并优化制备工艺关键因素显著提高其药效至90%以上</w:t>
            </w:r>
            <w:r>
              <w:rPr>
                <w:rFonts w:hint="eastAsia" w:ascii="宋体" w:hAnsi="宋体"/>
                <w:szCs w:val="21"/>
                <w:lang w:eastAsia="zh-CN"/>
              </w:rPr>
              <w:t>；</w:t>
            </w:r>
            <w:r>
              <w:rPr>
                <w:rFonts w:hint="eastAsia" w:ascii="宋体" w:hAnsi="宋体"/>
                <w:szCs w:val="21"/>
              </w:rPr>
              <w:t>首次建立多指标含量测定完善该制剂质量控制体系，已用于口服液生产质量保障。开发氨基色谱柱分离乌头类生物碱的新方法，通过代谢组学技术研究乌头类药材毒性代谢标志物，发现12-表-欧乌碱对白血病K-562细胞和HL-60细胞具有良好的抑制作用，具有很好的应用前景</w:t>
            </w:r>
            <w:r>
              <w:rPr>
                <w:rFonts w:hint="eastAsia" w:ascii="宋体" w:hAnsi="宋体"/>
                <w:szCs w:val="21"/>
                <w:lang w:eastAsia="zh-CN"/>
              </w:rPr>
              <w:t>。</w:t>
            </w:r>
          </w:p>
          <w:p w14:paraId="6E7E9E4C">
            <w:pPr>
              <w:spacing w:line="360" w:lineRule="auto"/>
              <w:ind w:firstLine="457" w:firstLineChars="218"/>
              <w:rPr>
                <w:rFonts w:hint="eastAsia" w:ascii="宋体" w:hAnsi="宋体"/>
                <w:szCs w:val="21"/>
              </w:rPr>
            </w:pPr>
            <w:r>
              <w:rPr>
                <w:rFonts w:hint="eastAsia" w:ascii="宋体" w:hAnsi="宋体"/>
                <w:szCs w:val="21"/>
              </w:rPr>
              <w:t>（3）项目系列研究阐明了南充地区中药资源种类及其分布，解决了半夏、佛手、益母草、乌头等药材加工工艺技术难题，并成功实现了生产企业转化，对经济欠发达地区中药资源合理开发利用、资源安全具有普遍示范意义。</w:t>
            </w:r>
          </w:p>
          <w:p w14:paraId="2768B975">
            <w:pPr>
              <w:spacing w:line="360" w:lineRule="auto"/>
              <w:ind w:firstLine="457" w:firstLineChars="218"/>
              <w:rPr>
                <w:rFonts w:hint="eastAsia" w:ascii="宋体" w:hAnsi="宋体"/>
                <w:szCs w:val="21"/>
              </w:rPr>
            </w:pPr>
            <w:r>
              <w:rPr>
                <w:rFonts w:hint="eastAsia" w:ascii="宋体" w:hAnsi="宋体"/>
                <w:szCs w:val="21"/>
              </w:rPr>
              <w:t>该成果取得授权发明专利4项，授权实用新型专利2项，制定企业标准4部，发表学术论文80篇。</w:t>
            </w:r>
          </w:p>
          <w:p w14:paraId="4CCA0B06">
            <w:pPr>
              <w:spacing w:line="360" w:lineRule="auto"/>
              <w:ind w:firstLine="457" w:firstLineChars="218"/>
              <w:rPr>
                <w:rFonts w:ascii="宋体" w:hAnsi="宋体"/>
                <w:bCs/>
                <w:color w:val="000000" w:themeColor="text1"/>
                <w:spacing w:val="2"/>
                <w14:textFill>
                  <w14:solidFill>
                    <w14:schemeClr w14:val="tx1"/>
                  </w14:solidFill>
                </w14:textFill>
              </w:rPr>
            </w:pPr>
            <w:r>
              <w:rPr>
                <w:rFonts w:hint="eastAsia" w:ascii="宋体" w:hAnsi="宋体"/>
                <w:szCs w:val="21"/>
              </w:rPr>
              <w:t>该成果整体技术达到了国内先进水平，其中中药资源保护处于了国际领先水平。提名该项目</w:t>
            </w:r>
            <w:r>
              <w:rPr>
                <w:rFonts w:hint="eastAsia" w:ascii="宋体" w:hAnsi="宋体"/>
                <w:szCs w:val="21"/>
                <w:lang w:val="en-US" w:eastAsia="zh-CN"/>
              </w:rPr>
              <w:t>申报</w:t>
            </w:r>
            <w:r>
              <w:rPr>
                <w:rFonts w:hint="eastAsia" w:ascii="宋体" w:hAnsi="宋体"/>
                <w:szCs w:val="21"/>
              </w:rPr>
              <w:t>2024年度四川省科学技术进步奖。</w:t>
            </w:r>
          </w:p>
        </w:tc>
      </w:tr>
    </w:tbl>
    <w:p w14:paraId="1FEF31A2">
      <w:pPr>
        <w:spacing w:line="390" w:lineRule="exact"/>
        <w:outlineLvl w:val="1"/>
        <w:rPr>
          <w:rFonts w:ascii="黑体" w:eastAsia="黑体" w:cs="黑体"/>
          <w:bCs/>
          <w:color w:val="000000"/>
          <w:kern w:val="0"/>
          <w:sz w:val="28"/>
          <w:szCs w:val="28"/>
        </w:rPr>
      </w:pPr>
    </w:p>
    <w:p w14:paraId="11D13725">
      <w:pPr>
        <w:spacing w:line="390" w:lineRule="exact"/>
        <w:jc w:val="center"/>
        <w:outlineLvl w:val="1"/>
        <w:rPr>
          <w:rFonts w:ascii="宋体" w:cs="宋体"/>
          <w:szCs w:val="21"/>
        </w:rPr>
      </w:pPr>
      <w:r>
        <w:rPr>
          <w:rFonts w:hint="eastAsia" w:ascii="宋体" w:cs="Times New Roman"/>
          <w:b/>
          <w:color w:val="000000"/>
          <w:sz w:val="28"/>
          <w:szCs w:val="20"/>
        </w:rPr>
        <w:t>三、主要知识产权和标准规范等目录</w:t>
      </w:r>
      <w:r>
        <w:rPr>
          <w:rFonts w:hint="eastAsia" w:ascii="宋体" w:cs="宋体"/>
          <w:szCs w:val="21"/>
        </w:rPr>
        <w:t>（不超过10件，不得空缺）</w:t>
      </w:r>
    </w:p>
    <w:tbl>
      <w:tblPr>
        <w:tblStyle w:val="10"/>
        <w:tblW w:w="92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89"/>
        <w:gridCol w:w="737"/>
        <w:gridCol w:w="851"/>
        <w:gridCol w:w="992"/>
        <w:gridCol w:w="709"/>
        <w:gridCol w:w="1417"/>
        <w:gridCol w:w="1104"/>
        <w:gridCol w:w="1071"/>
      </w:tblGrid>
      <w:tr w14:paraId="07377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7803B520">
            <w:pPr>
              <w:pStyle w:val="6"/>
              <w:spacing w:line="390" w:lineRule="exact"/>
              <w:ind w:firstLine="0" w:firstLineChars="0"/>
              <w:jc w:val="center"/>
              <w:rPr>
                <w:rFonts w:ascii="宋体" w:hAnsi="宋体"/>
                <w:color w:val="000000"/>
                <w:sz w:val="21"/>
                <w:szCs w:val="22"/>
              </w:rPr>
            </w:pPr>
            <w:r>
              <w:rPr>
                <w:rFonts w:ascii="宋体" w:hAnsi="宋体"/>
                <w:color w:val="000000"/>
                <w:sz w:val="21"/>
                <w:szCs w:val="22"/>
              </w:rPr>
              <w:t>知识产权</w:t>
            </w:r>
            <w:r>
              <w:rPr>
                <w:rFonts w:hint="eastAsia" w:ascii="宋体" w:hAnsi="宋体"/>
                <w:color w:val="000000"/>
                <w:sz w:val="21"/>
                <w:szCs w:val="22"/>
              </w:rPr>
              <w:t>（标准）</w:t>
            </w:r>
            <w:r>
              <w:rPr>
                <w:rFonts w:ascii="宋体" w:hAnsi="宋体"/>
                <w:color w:val="000000"/>
                <w:sz w:val="21"/>
                <w:szCs w:val="22"/>
              </w:rPr>
              <w:t>类别</w:t>
            </w:r>
          </w:p>
        </w:tc>
        <w:tc>
          <w:tcPr>
            <w:tcW w:w="1389" w:type="dxa"/>
            <w:vAlign w:val="center"/>
          </w:tcPr>
          <w:p w14:paraId="3A8EFBEA">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知识产权（标准）具体</w:t>
            </w:r>
            <w:r>
              <w:rPr>
                <w:rFonts w:ascii="宋体" w:hAnsi="宋体"/>
                <w:color w:val="000000" w:themeColor="text1"/>
                <w:sz w:val="21"/>
                <w:szCs w:val="21"/>
                <w14:textFill>
                  <w14:solidFill>
                    <w14:schemeClr w14:val="tx1"/>
                  </w14:solidFill>
                </w14:textFill>
              </w:rPr>
              <w:t>名称</w:t>
            </w:r>
          </w:p>
        </w:tc>
        <w:tc>
          <w:tcPr>
            <w:tcW w:w="737" w:type="dxa"/>
            <w:vAlign w:val="center"/>
          </w:tcPr>
          <w:p w14:paraId="0E31BCC2">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国</w:t>
            </w:r>
            <w:r>
              <w:rPr>
                <w:rFonts w:hint="eastAsia" w:ascii="宋体" w:hAnsi="宋体"/>
                <w:color w:val="000000" w:themeColor="text1"/>
                <w:sz w:val="21"/>
                <w:szCs w:val="21"/>
                <w14:textFill>
                  <w14:solidFill>
                    <w14:schemeClr w14:val="tx1"/>
                  </w14:solidFill>
                </w14:textFill>
              </w:rPr>
              <w:t>家</w:t>
            </w:r>
          </w:p>
          <w:p w14:paraId="28F5EE9C">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地</w:t>
            </w:r>
            <w:r>
              <w:rPr>
                <w:rFonts w:ascii="宋体" w:hAnsi="宋体"/>
                <w:color w:val="000000" w:themeColor="text1"/>
                <w:sz w:val="21"/>
                <w:szCs w:val="21"/>
                <w14:textFill>
                  <w14:solidFill>
                    <w14:schemeClr w14:val="tx1"/>
                  </w14:solidFill>
                </w14:textFill>
              </w:rPr>
              <w:t>区）</w:t>
            </w:r>
          </w:p>
        </w:tc>
        <w:tc>
          <w:tcPr>
            <w:tcW w:w="851" w:type="dxa"/>
            <w:vAlign w:val="center"/>
          </w:tcPr>
          <w:p w14:paraId="3A813C19">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授权号（标准编号）</w:t>
            </w:r>
          </w:p>
        </w:tc>
        <w:tc>
          <w:tcPr>
            <w:tcW w:w="992" w:type="dxa"/>
            <w:vAlign w:val="center"/>
          </w:tcPr>
          <w:p w14:paraId="0C17655A">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授权（标准发布）日期</w:t>
            </w:r>
          </w:p>
        </w:tc>
        <w:tc>
          <w:tcPr>
            <w:tcW w:w="709" w:type="dxa"/>
            <w:vAlign w:val="center"/>
          </w:tcPr>
          <w:p w14:paraId="4385D58D">
            <w:pPr>
              <w:pStyle w:val="6"/>
              <w:spacing w:line="32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证书编号</w:t>
            </w:r>
            <w:r>
              <w:rPr>
                <w:rFonts w:ascii="宋体" w:hAnsi="宋体"/>
                <w:color w:val="000000" w:themeColor="text1"/>
                <w:sz w:val="21"/>
                <w:szCs w:val="21"/>
                <w14:textFill>
                  <w14:solidFill>
                    <w14:schemeClr w14:val="tx1"/>
                  </w14:solidFill>
                </w14:textFill>
              </w:rPr>
              <w:br w:type="textWrapping"/>
            </w:r>
            <w:r>
              <w:rPr>
                <w:rFonts w:hint="eastAsia" w:ascii="宋体" w:hAnsi="宋体"/>
                <w:color w:val="000000" w:themeColor="text1"/>
                <w:sz w:val="21"/>
                <w:szCs w:val="21"/>
                <w14:textFill>
                  <w14:solidFill>
                    <w14:schemeClr w14:val="tx1"/>
                  </w14:solidFill>
                </w14:textFill>
              </w:rPr>
              <w:t>（标准批准发布</w:t>
            </w:r>
            <w:r>
              <w:rPr>
                <w:rFonts w:ascii="宋体" w:hAnsi="宋体"/>
                <w:color w:val="000000" w:themeColor="text1"/>
                <w:sz w:val="21"/>
                <w:szCs w:val="21"/>
                <w14:textFill>
                  <w14:solidFill>
                    <w14:schemeClr w14:val="tx1"/>
                  </w14:solidFill>
                </w14:textFill>
              </w:rPr>
              <w:t>部门</w:t>
            </w:r>
            <w:r>
              <w:rPr>
                <w:rFonts w:hint="eastAsia" w:ascii="宋体" w:hAnsi="宋体"/>
                <w:color w:val="000000" w:themeColor="text1"/>
                <w:sz w:val="21"/>
                <w:szCs w:val="21"/>
                <w14:textFill>
                  <w14:solidFill>
                    <w14:schemeClr w14:val="tx1"/>
                  </w14:solidFill>
                </w14:textFill>
              </w:rPr>
              <w:t>）</w:t>
            </w:r>
          </w:p>
        </w:tc>
        <w:tc>
          <w:tcPr>
            <w:tcW w:w="1417" w:type="dxa"/>
            <w:vAlign w:val="center"/>
          </w:tcPr>
          <w:p w14:paraId="1A48B589">
            <w:pPr>
              <w:pStyle w:val="6"/>
              <w:spacing w:line="32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权利人（标准起草单位）</w:t>
            </w:r>
          </w:p>
        </w:tc>
        <w:tc>
          <w:tcPr>
            <w:tcW w:w="1104" w:type="dxa"/>
            <w:vAlign w:val="center"/>
          </w:tcPr>
          <w:p w14:paraId="4680B7A0">
            <w:pPr>
              <w:pStyle w:val="6"/>
              <w:spacing w:line="32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发明人（标准起草人）</w:t>
            </w:r>
          </w:p>
        </w:tc>
        <w:tc>
          <w:tcPr>
            <w:tcW w:w="1071" w:type="dxa"/>
            <w:vAlign w:val="center"/>
          </w:tcPr>
          <w:p w14:paraId="6C43A035">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发明专利（标准）有效状态</w:t>
            </w:r>
          </w:p>
        </w:tc>
      </w:tr>
      <w:tr w14:paraId="718B7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14:paraId="28CA1F51">
            <w:pPr>
              <w:pStyle w:val="6"/>
              <w:spacing w:line="390" w:lineRule="exact"/>
              <w:ind w:firstLine="0" w:firstLineChars="0"/>
              <w:jc w:val="center"/>
              <w:rPr>
                <w:rFonts w:ascii="等线"/>
                <w:sz w:val="21"/>
                <w:szCs w:val="21"/>
              </w:rPr>
            </w:pPr>
            <w:r>
              <w:rPr>
                <w:rFonts w:hint="eastAsia" w:ascii="等线"/>
                <w:sz w:val="21"/>
                <w:szCs w:val="21"/>
              </w:rPr>
              <w:t>发明专利</w:t>
            </w:r>
          </w:p>
        </w:tc>
        <w:tc>
          <w:tcPr>
            <w:tcW w:w="1389" w:type="dxa"/>
            <w:vAlign w:val="center"/>
          </w:tcPr>
          <w:p w14:paraId="5F68ACB2">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欧乌碱和12-表-欧乌碱的分离方法</w:t>
            </w:r>
          </w:p>
        </w:tc>
        <w:tc>
          <w:tcPr>
            <w:tcW w:w="737" w:type="dxa"/>
            <w:vAlign w:val="center"/>
          </w:tcPr>
          <w:p w14:paraId="7E6B3B0E">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中国</w:t>
            </w:r>
          </w:p>
        </w:tc>
        <w:tc>
          <w:tcPr>
            <w:tcW w:w="851" w:type="dxa"/>
            <w:vAlign w:val="center"/>
          </w:tcPr>
          <w:p w14:paraId="0FDC0BF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ZL 2019 1 0595718.2</w:t>
            </w:r>
          </w:p>
        </w:tc>
        <w:tc>
          <w:tcPr>
            <w:tcW w:w="992" w:type="dxa"/>
            <w:vAlign w:val="center"/>
          </w:tcPr>
          <w:p w14:paraId="083A49BB">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202</w:t>
            </w: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年</w:t>
            </w:r>
            <w:r>
              <w:rPr>
                <w:rFonts w:hint="eastAsia" w:ascii="Times New Roman" w:hAnsi="Times New Roman"/>
                <w:color w:val="000000" w:themeColor="text1"/>
                <w:sz w:val="21"/>
                <w:szCs w:val="21"/>
                <w14:textFill>
                  <w14:solidFill>
                    <w14:schemeClr w14:val="tx1"/>
                  </w14:solidFill>
                </w14:textFill>
              </w:rPr>
              <w:t>5</w:t>
            </w:r>
            <w:r>
              <w:rPr>
                <w:rFonts w:ascii="Times New Roman" w:hAnsi="Times New Roman"/>
                <w:color w:val="000000" w:themeColor="text1"/>
                <w:sz w:val="21"/>
                <w:szCs w:val="21"/>
                <w14:textFill>
                  <w14:solidFill>
                    <w14:schemeClr w14:val="tx1"/>
                  </w14:solidFill>
                </w14:textFill>
              </w:rPr>
              <w:t>月</w:t>
            </w: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0日</w:t>
            </w:r>
          </w:p>
        </w:tc>
        <w:tc>
          <w:tcPr>
            <w:tcW w:w="709" w:type="dxa"/>
            <w:vAlign w:val="center"/>
          </w:tcPr>
          <w:p w14:paraId="25CDA46C">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第6014746号（国家知识产权局）</w:t>
            </w:r>
          </w:p>
        </w:tc>
        <w:tc>
          <w:tcPr>
            <w:tcW w:w="1417" w:type="dxa"/>
            <w:vAlign w:val="center"/>
          </w:tcPr>
          <w:p w14:paraId="6C694199">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川北医学院</w:t>
            </w:r>
          </w:p>
        </w:tc>
        <w:tc>
          <w:tcPr>
            <w:tcW w:w="1104" w:type="dxa"/>
            <w:vAlign w:val="center"/>
          </w:tcPr>
          <w:p w14:paraId="2AC51579">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张帆，韩佳</w:t>
            </w:r>
          </w:p>
        </w:tc>
        <w:tc>
          <w:tcPr>
            <w:tcW w:w="1071" w:type="dxa"/>
            <w:vAlign w:val="center"/>
          </w:tcPr>
          <w:p w14:paraId="3613B061">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有效</w:t>
            </w:r>
          </w:p>
        </w:tc>
      </w:tr>
      <w:tr w14:paraId="40014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14:paraId="69130510">
            <w:pPr>
              <w:pStyle w:val="6"/>
              <w:spacing w:line="390" w:lineRule="exact"/>
              <w:ind w:firstLine="0" w:firstLineChars="0"/>
              <w:jc w:val="center"/>
              <w:rPr>
                <w:rFonts w:ascii="等线"/>
                <w:sz w:val="21"/>
                <w:szCs w:val="21"/>
              </w:rPr>
            </w:pPr>
            <w:r>
              <w:rPr>
                <w:rFonts w:hint="eastAsia" w:ascii="等线"/>
                <w:sz w:val="21"/>
                <w:szCs w:val="21"/>
              </w:rPr>
              <w:t>发明专利</w:t>
            </w:r>
          </w:p>
        </w:tc>
        <w:tc>
          <w:tcPr>
            <w:tcW w:w="1389" w:type="dxa"/>
            <w:vAlign w:val="center"/>
          </w:tcPr>
          <w:p w14:paraId="60144139">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欧乌碱或12-表-欧乌碱在制备治疗白血病的药物中的应用</w:t>
            </w:r>
          </w:p>
        </w:tc>
        <w:tc>
          <w:tcPr>
            <w:tcW w:w="737" w:type="dxa"/>
            <w:vAlign w:val="center"/>
          </w:tcPr>
          <w:p w14:paraId="6C4AB7F7">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中国</w:t>
            </w:r>
          </w:p>
        </w:tc>
        <w:tc>
          <w:tcPr>
            <w:tcW w:w="851" w:type="dxa"/>
            <w:vAlign w:val="center"/>
          </w:tcPr>
          <w:p w14:paraId="407ADF2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ZL 2019 1 0595654.6</w:t>
            </w:r>
          </w:p>
        </w:tc>
        <w:tc>
          <w:tcPr>
            <w:tcW w:w="992" w:type="dxa"/>
            <w:vAlign w:val="center"/>
          </w:tcPr>
          <w:p w14:paraId="3A7D9987">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202</w:t>
            </w: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年</w:t>
            </w:r>
            <w:r>
              <w:rPr>
                <w:rFonts w:hint="eastAsia" w:ascii="Times New Roman" w:hAnsi="Times New Roman"/>
                <w:color w:val="000000" w:themeColor="text1"/>
                <w:sz w:val="21"/>
                <w:szCs w:val="21"/>
                <w14:textFill>
                  <w14:solidFill>
                    <w14:schemeClr w14:val="tx1"/>
                  </w14:solidFill>
                </w14:textFill>
              </w:rPr>
              <w:t>8</w:t>
            </w:r>
            <w:r>
              <w:rPr>
                <w:rFonts w:ascii="Times New Roman" w:hAnsi="Times New Roman"/>
                <w:color w:val="000000" w:themeColor="text1"/>
                <w:sz w:val="21"/>
                <w:szCs w:val="21"/>
                <w14:textFill>
                  <w14:solidFill>
                    <w14:schemeClr w14:val="tx1"/>
                  </w14:solidFill>
                </w14:textFill>
              </w:rPr>
              <w:t>月2</w:t>
            </w:r>
            <w:r>
              <w:rPr>
                <w:rFonts w:hint="eastAsia" w:ascii="Times New Roman" w:hAnsi="Times New Roman"/>
                <w:color w:val="000000" w:themeColor="text1"/>
                <w:sz w:val="21"/>
                <w:szCs w:val="21"/>
                <w14:textFill>
                  <w14:solidFill>
                    <w14:schemeClr w14:val="tx1"/>
                  </w14:solidFill>
                </w14:textFill>
              </w:rPr>
              <w:t>9</w:t>
            </w:r>
            <w:r>
              <w:rPr>
                <w:rFonts w:ascii="Times New Roman" w:hAnsi="Times New Roman"/>
                <w:color w:val="000000" w:themeColor="text1"/>
                <w:sz w:val="21"/>
                <w:szCs w:val="21"/>
                <w14:textFill>
                  <w14:solidFill>
                    <w14:schemeClr w14:val="tx1"/>
                  </w14:solidFill>
                </w14:textFill>
              </w:rPr>
              <w:t>日</w:t>
            </w:r>
          </w:p>
        </w:tc>
        <w:tc>
          <w:tcPr>
            <w:tcW w:w="709" w:type="dxa"/>
            <w:vAlign w:val="center"/>
          </w:tcPr>
          <w:p w14:paraId="74DFB448">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第6274366号（国家知识产权局）</w:t>
            </w:r>
          </w:p>
        </w:tc>
        <w:tc>
          <w:tcPr>
            <w:tcW w:w="1417" w:type="dxa"/>
            <w:vAlign w:val="center"/>
          </w:tcPr>
          <w:p w14:paraId="1337C260">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川北医学院</w:t>
            </w:r>
          </w:p>
        </w:tc>
        <w:tc>
          <w:tcPr>
            <w:tcW w:w="1104" w:type="dxa"/>
            <w:vAlign w:val="center"/>
          </w:tcPr>
          <w:p w14:paraId="6E45184A">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张帆，韩佳，陈泳洁</w:t>
            </w:r>
          </w:p>
        </w:tc>
        <w:tc>
          <w:tcPr>
            <w:tcW w:w="1071" w:type="dxa"/>
            <w:vAlign w:val="center"/>
          </w:tcPr>
          <w:p w14:paraId="1AED7E80">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有效</w:t>
            </w:r>
          </w:p>
        </w:tc>
      </w:tr>
      <w:tr w14:paraId="02BAC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14:paraId="380A97A8">
            <w:pPr>
              <w:pStyle w:val="6"/>
              <w:spacing w:line="390" w:lineRule="exact"/>
              <w:ind w:firstLine="0" w:firstLineChars="0"/>
              <w:jc w:val="center"/>
              <w:rPr>
                <w:rFonts w:ascii="等线"/>
                <w:sz w:val="21"/>
                <w:szCs w:val="21"/>
              </w:rPr>
            </w:pPr>
            <w:r>
              <w:rPr>
                <w:rFonts w:hint="eastAsia" w:ascii="等线"/>
                <w:sz w:val="21"/>
                <w:szCs w:val="21"/>
              </w:rPr>
              <w:t>发明专利</w:t>
            </w:r>
          </w:p>
        </w:tc>
        <w:tc>
          <w:tcPr>
            <w:tcW w:w="1389" w:type="dxa"/>
            <w:vAlign w:val="center"/>
          </w:tcPr>
          <w:p w14:paraId="6E1FCA6E">
            <w:pPr>
              <w:pStyle w:val="6"/>
              <w:adjustRightInd w:val="0"/>
              <w:snapToGrid w:val="0"/>
              <w:spacing w:line="24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一种富含异黄酮的粉葛及其制备方法</w:t>
            </w:r>
          </w:p>
        </w:tc>
        <w:tc>
          <w:tcPr>
            <w:tcW w:w="737" w:type="dxa"/>
            <w:vAlign w:val="center"/>
          </w:tcPr>
          <w:p w14:paraId="6AEFAB16">
            <w:pPr>
              <w:pStyle w:val="6"/>
              <w:adjustRightInd w:val="0"/>
              <w:snapToGrid w:val="0"/>
              <w:spacing w:line="240" w:lineRule="auto"/>
              <w:ind w:firstLine="0" w:firstLineChars="0"/>
              <w:jc w:val="center"/>
              <w:rPr>
                <w:rFonts w:ascii="Times New Roman" w:hAnsi="Times New Roman"/>
                <w:color w:val="000000"/>
                <w:sz w:val="21"/>
                <w:szCs w:val="21"/>
              </w:rPr>
            </w:pPr>
            <w:r>
              <w:rPr>
                <w:rFonts w:ascii="Times New Roman" w:hAnsi="宋体"/>
                <w:color w:val="000000"/>
                <w:sz w:val="21"/>
                <w:szCs w:val="21"/>
              </w:rPr>
              <w:t>中国</w:t>
            </w:r>
          </w:p>
        </w:tc>
        <w:tc>
          <w:tcPr>
            <w:tcW w:w="851" w:type="dxa"/>
            <w:vAlign w:val="center"/>
          </w:tcPr>
          <w:p w14:paraId="792908C3">
            <w:pPr>
              <w:pStyle w:val="6"/>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ZL 2019 1 0527719.3</w:t>
            </w:r>
          </w:p>
        </w:tc>
        <w:tc>
          <w:tcPr>
            <w:tcW w:w="992" w:type="dxa"/>
            <w:vAlign w:val="center"/>
          </w:tcPr>
          <w:p w14:paraId="0123F251">
            <w:pPr>
              <w:pStyle w:val="6"/>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rPr>
              <w:t>1</w:t>
            </w:r>
            <w:r>
              <w:rPr>
                <w:rFonts w:ascii="Times New Roman" w:hAnsi="Times New Roman"/>
                <w:color w:val="000000"/>
                <w:sz w:val="21"/>
                <w:szCs w:val="21"/>
              </w:rPr>
              <w:t>年</w:t>
            </w:r>
            <w:r>
              <w:rPr>
                <w:rFonts w:hint="eastAsia" w:ascii="Times New Roman" w:hAnsi="Times New Roman"/>
                <w:color w:val="000000"/>
                <w:sz w:val="21"/>
                <w:szCs w:val="21"/>
              </w:rPr>
              <w:t>10月26日</w:t>
            </w:r>
          </w:p>
        </w:tc>
        <w:tc>
          <w:tcPr>
            <w:tcW w:w="709" w:type="dxa"/>
            <w:vAlign w:val="center"/>
          </w:tcPr>
          <w:p w14:paraId="58C65597">
            <w:pPr>
              <w:pStyle w:val="6"/>
              <w:adjustRightInd w:val="0"/>
              <w:snapToGrid w:val="0"/>
              <w:spacing w:line="24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第</w:t>
            </w:r>
          </w:p>
          <w:p w14:paraId="7AF0DCF4">
            <w:pPr>
              <w:pStyle w:val="6"/>
              <w:adjustRightInd w:val="0"/>
              <w:snapToGrid w:val="0"/>
              <w:spacing w:line="240" w:lineRule="auto"/>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4753396号（</w:t>
            </w:r>
            <w:r>
              <w:rPr>
                <w:rFonts w:ascii="Times New Roman" w:hAnsi="Times New Roman"/>
                <w:color w:val="000000"/>
                <w:sz w:val="21"/>
                <w:szCs w:val="21"/>
              </w:rPr>
              <w:t>国家知识产权局）</w:t>
            </w:r>
          </w:p>
        </w:tc>
        <w:tc>
          <w:tcPr>
            <w:tcW w:w="1417" w:type="dxa"/>
            <w:vAlign w:val="center"/>
          </w:tcPr>
          <w:p w14:paraId="45375817">
            <w:pPr>
              <w:pStyle w:val="6"/>
              <w:adjustRightInd w:val="0"/>
              <w:snapToGrid w:val="0"/>
              <w:spacing w:line="240" w:lineRule="auto"/>
              <w:ind w:firstLine="0" w:firstLineChars="0"/>
              <w:jc w:val="center"/>
              <w:rPr>
                <w:rFonts w:ascii="Times New Roman" w:hAnsi="Times New Roman"/>
                <w:color w:val="000000"/>
                <w:sz w:val="21"/>
                <w:szCs w:val="21"/>
              </w:rPr>
            </w:pPr>
            <w:r>
              <w:rPr>
                <w:rFonts w:ascii="Times New Roman" w:hAnsi="宋体"/>
                <w:color w:val="000000"/>
                <w:sz w:val="21"/>
                <w:szCs w:val="21"/>
              </w:rPr>
              <w:t>川北医学院</w:t>
            </w:r>
            <w:r>
              <w:rPr>
                <w:rFonts w:hint="eastAsia" w:ascii="Times New Roman" w:hAnsi="宋体"/>
                <w:color w:val="000000"/>
                <w:sz w:val="21"/>
                <w:szCs w:val="21"/>
              </w:rPr>
              <w:t>，成都中医药大学</w:t>
            </w:r>
          </w:p>
        </w:tc>
        <w:tc>
          <w:tcPr>
            <w:tcW w:w="1104" w:type="dxa"/>
            <w:vAlign w:val="center"/>
          </w:tcPr>
          <w:p w14:paraId="784253C3">
            <w:pPr>
              <w:pStyle w:val="6"/>
              <w:adjustRightInd w:val="0"/>
              <w:snapToGrid w:val="0"/>
              <w:spacing w:line="240" w:lineRule="auto"/>
              <w:ind w:firstLine="0" w:firstLineChars="0"/>
              <w:jc w:val="center"/>
              <w:rPr>
                <w:rFonts w:ascii="Times New Roman" w:hAnsi="宋体"/>
                <w:color w:val="000000"/>
                <w:sz w:val="21"/>
                <w:szCs w:val="21"/>
              </w:rPr>
            </w:pPr>
            <w:r>
              <w:rPr>
                <w:rFonts w:ascii="Times New Roman" w:hAnsi="宋体"/>
                <w:color w:val="000000"/>
                <w:sz w:val="21"/>
                <w:szCs w:val="21"/>
              </w:rPr>
              <w:t>李生茂</w:t>
            </w:r>
            <w:r>
              <w:rPr>
                <w:rFonts w:hint="eastAsia" w:ascii="Times New Roman" w:hAnsi="宋体"/>
                <w:color w:val="000000"/>
                <w:sz w:val="21"/>
                <w:szCs w:val="21"/>
              </w:rPr>
              <w:t>，刘友平，刘琳，周春阳，陈鸿平，张帆，李毅</w:t>
            </w:r>
          </w:p>
        </w:tc>
        <w:tc>
          <w:tcPr>
            <w:tcW w:w="1071" w:type="dxa"/>
            <w:vAlign w:val="center"/>
          </w:tcPr>
          <w:p w14:paraId="2E0F0862">
            <w:pPr>
              <w:pStyle w:val="6"/>
              <w:adjustRightInd w:val="0"/>
              <w:snapToGrid w:val="0"/>
              <w:spacing w:line="240" w:lineRule="auto"/>
              <w:ind w:firstLine="0" w:firstLineChars="0"/>
              <w:jc w:val="center"/>
              <w:rPr>
                <w:rFonts w:ascii="Times New Roman" w:hAnsi="Times New Roman"/>
                <w:color w:val="000000"/>
                <w:sz w:val="21"/>
                <w:szCs w:val="21"/>
              </w:rPr>
            </w:pPr>
            <w:r>
              <w:rPr>
                <w:rFonts w:ascii="Times New Roman" w:hAnsi="宋体"/>
                <w:color w:val="000000"/>
                <w:sz w:val="21"/>
                <w:szCs w:val="21"/>
              </w:rPr>
              <w:t>有效</w:t>
            </w:r>
          </w:p>
        </w:tc>
      </w:tr>
      <w:tr w14:paraId="0427B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tcPr>
          <w:p w14:paraId="323FF0BC">
            <w:pPr>
              <w:pStyle w:val="6"/>
              <w:spacing w:line="390" w:lineRule="exact"/>
              <w:ind w:firstLine="0" w:firstLineChars="0"/>
              <w:jc w:val="center"/>
              <w:rPr>
                <w:rFonts w:ascii="等线"/>
                <w:sz w:val="21"/>
                <w:szCs w:val="21"/>
              </w:rPr>
            </w:pPr>
            <w:r>
              <w:rPr>
                <w:rFonts w:hint="eastAsia" w:ascii="等线"/>
                <w:sz w:val="21"/>
                <w:szCs w:val="21"/>
              </w:rPr>
              <w:t>发明专利</w:t>
            </w:r>
          </w:p>
        </w:tc>
        <w:tc>
          <w:tcPr>
            <w:tcW w:w="1389" w:type="dxa"/>
            <w:vAlign w:val="center"/>
          </w:tcPr>
          <w:p w14:paraId="5DD8187B">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一种治疗母畜产后综合症的复方中药口服液及其生产方法</w:t>
            </w:r>
          </w:p>
        </w:tc>
        <w:tc>
          <w:tcPr>
            <w:tcW w:w="737" w:type="dxa"/>
            <w:vAlign w:val="center"/>
          </w:tcPr>
          <w:p w14:paraId="5DF593D8">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中国</w:t>
            </w:r>
          </w:p>
        </w:tc>
        <w:tc>
          <w:tcPr>
            <w:tcW w:w="851" w:type="dxa"/>
            <w:vAlign w:val="center"/>
          </w:tcPr>
          <w:p w14:paraId="7111A2A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ZL 2014 10079244.3</w:t>
            </w:r>
          </w:p>
        </w:tc>
        <w:tc>
          <w:tcPr>
            <w:tcW w:w="992" w:type="dxa"/>
            <w:vAlign w:val="center"/>
          </w:tcPr>
          <w:p w14:paraId="392AA2C6">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2016年4月</w:t>
            </w:r>
            <w:r>
              <w:rPr>
                <w:rFonts w:hint="eastAsia" w:ascii="Times New Roman" w:hAnsi="Times New Roman"/>
                <w:color w:val="000000" w:themeColor="text1"/>
                <w:sz w:val="21"/>
                <w:szCs w:val="21"/>
                <w14:textFill>
                  <w14:solidFill>
                    <w14:schemeClr w14:val="tx1"/>
                  </w14:solidFill>
                </w14:textFill>
              </w:rPr>
              <w:t>20日</w:t>
            </w:r>
          </w:p>
        </w:tc>
        <w:tc>
          <w:tcPr>
            <w:tcW w:w="709" w:type="dxa"/>
            <w:vAlign w:val="center"/>
          </w:tcPr>
          <w:p w14:paraId="5346BA47">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第2034823号（</w:t>
            </w:r>
            <w:r>
              <w:rPr>
                <w:rFonts w:ascii="Times New Roman" w:hAnsi="Times New Roman"/>
                <w:color w:val="000000" w:themeColor="text1"/>
                <w:sz w:val="21"/>
                <w:szCs w:val="21"/>
                <w14:textFill>
                  <w14:solidFill>
                    <w14:schemeClr w14:val="tx1"/>
                  </w14:solidFill>
                </w14:textFill>
              </w:rPr>
              <w:t>国家知识产权局）</w:t>
            </w:r>
          </w:p>
        </w:tc>
        <w:tc>
          <w:tcPr>
            <w:tcW w:w="1417" w:type="dxa"/>
            <w:vAlign w:val="center"/>
          </w:tcPr>
          <w:p w14:paraId="50A1101A">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四川兴华药业股份有限公司</w:t>
            </w:r>
          </w:p>
        </w:tc>
        <w:tc>
          <w:tcPr>
            <w:tcW w:w="1104" w:type="dxa"/>
            <w:vAlign w:val="center"/>
          </w:tcPr>
          <w:p w14:paraId="68AE057F">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罗中华</w:t>
            </w:r>
          </w:p>
        </w:tc>
        <w:tc>
          <w:tcPr>
            <w:tcW w:w="1071" w:type="dxa"/>
            <w:vAlign w:val="center"/>
          </w:tcPr>
          <w:p w14:paraId="6B9530D0">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终止</w:t>
            </w:r>
          </w:p>
        </w:tc>
      </w:tr>
      <w:tr w14:paraId="7C97E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033EED06">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标准</w:t>
            </w:r>
          </w:p>
        </w:tc>
        <w:tc>
          <w:tcPr>
            <w:tcW w:w="1389" w:type="dxa"/>
            <w:vAlign w:val="center"/>
          </w:tcPr>
          <w:p w14:paraId="174BCAED">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生半夏中间产品质量标准</w:t>
            </w:r>
          </w:p>
        </w:tc>
        <w:tc>
          <w:tcPr>
            <w:tcW w:w="737" w:type="dxa"/>
            <w:vAlign w:val="center"/>
          </w:tcPr>
          <w:p w14:paraId="03FA601C">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中国</w:t>
            </w:r>
          </w:p>
        </w:tc>
        <w:tc>
          <w:tcPr>
            <w:tcW w:w="851" w:type="dxa"/>
            <w:vAlign w:val="center"/>
          </w:tcPr>
          <w:p w14:paraId="68B5C86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TS3-QCZ012-03</w:t>
            </w:r>
          </w:p>
        </w:tc>
        <w:tc>
          <w:tcPr>
            <w:tcW w:w="992" w:type="dxa"/>
            <w:vAlign w:val="center"/>
          </w:tcPr>
          <w:p w14:paraId="5016FC29">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2020年12月31日</w:t>
            </w:r>
          </w:p>
        </w:tc>
        <w:tc>
          <w:tcPr>
            <w:tcW w:w="709" w:type="dxa"/>
            <w:vAlign w:val="center"/>
          </w:tcPr>
          <w:p w14:paraId="7E7E2C19">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四川香雪制药有限公司质量部</w:t>
            </w:r>
          </w:p>
        </w:tc>
        <w:tc>
          <w:tcPr>
            <w:tcW w:w="1417" w:type="dxa"/>
            <w:vAlign w:val="center"/>
          </w:tcPr>
          <w:p w14:paraId="5C841183">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w:t>
            </w:r>
          </w:p>
        </w:tc>
        <w:tc>
          <w:tcPr>
            <w:tcW w:w="1104" w:type="dxa"/>
            <w:vAlign w:val="center"/>
          </w:tcPr>
          <w:p w14:paraId="6DE94A6E">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何明礼</w:t>
            </w:r>
          </w:p>
        </w:tc>
        <w:tc>
          <w:tcPr>
            <w:tcW w:w="1071" w:type="dxa"/>
            <w:vAlign w:val="center"/>
          </w:tcPr>
          <w:p w14:paraId="6A79CCB0">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有效</w:t>
            </w:r>
          </w:p>
        </w:tc>
      </w:tr>
      <w:tr w14:paraId="4282C8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7B7F3597">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标准</w:t>
            </w:r>
          </w:p>
        </w:tc>
        <w:tc>
          <w:tcPr>
            <w:tcW w:w="1389" w:type="dxa"/>
            <w:vAlign w:val="center"/>
          </w:tcPr>
          <w:p w14:paraId="7F5E223E">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生半夏（成品）质量标准</w:t>
            </w:r>
          </w:p>
        </w:tc>
        <w:tc>
          <w:tcPr>
            <w:tcW w:w="737" w:type="dxa"/>
            <w:vAlign w:val="center"/>
          </w:tcPr>
          <w:p w14:paraId="0678A2CF">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中国</w:t>
            </w:r>
          </w:p>
        </w:tc>
        <w:tc>
          <w:tcPr>
            <w:tcW w:w="851" w:type="dxa"/>
            <w:vAlign w:val="center"/>
          </w:tcPr>
          <w:p w14:paraId="6077D09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TS3-QCC023-07</w:t>
            </w:r>
          </w:p>
        </w:tc>
        <w:tc>
          <w:tcPr>
            <w:tcW w:w="992" w:type="dxa"/>
            <w:vAlign w:val="center"/>
          </w:tcPr>
          <w:p w14:paraId="20A6C5FC">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2021年12月20日</w:t>
            </w:r>
          </w:p>
        </w:tc>
        <w:tc>
          <w:tcPr>
            <w:tcW w:w="709" w:type="dxa"/>
            <w:vAlign w:val="center"/>
          </w:tcPr>
          <w:p w14:paraId="1AD36E5B">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四川香雪制药有限公司质量部</w:t>
            </w:r>
          </w:p>
        </w:tc>
        <w:tc>
          <w:tcPr>
            <w:tcW w:w="1417" w:type="dxa"/>
            <w:vAlign w:val="center"/>
          </w:tcPr>
          <w:p w14:paraId="23129868">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w:t>
            </w:r>
          </w:p>
        </w:tc>
        <w:tc>
          <w:tcPr>
            <w:tcW w:w="1104" w:type="dxa"/>
            <w:vAlign w:val="center"/>
          </w:tcPr>
          <w:p w14:paraId="22D2D107">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田春梅</w:t>
            </w:r>
          </w:p>
        </w:tc>
        <w:tc>
          <w:tcPr>
            <w:tcW w:w="1071" w:type="dxa"/>
            <w:vAlign w:val="center"/>
          </w:tcPr>
          <w:p w14:paraId="19E82373">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有效</w:t>
            </w:r>
          </w:p>
        </w:tc>
      </w:tr>
      <w:tr w14:paraId="4BFFD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7B109B60">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标准</w:t>
            </w:r>
          </w:p>
        </w:tc>
        <w:tc>
          <w:tcPr>
            <w:tcW w:w="1389" w:type="dxa"/>
            <w:vAlign w:val="center"/>
          </w:tcPr>
          <w:p w14:paraId="06CEA086">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清半夏（成品）质量标准</w:t>
            </w:r>
          </w:p>
        </w:tc>
        <w:tc>
          <w:tcPr>
            <w:tcW w:w="737" w:type="dxa"/>
            <w:vAlign w:val="center"/>
          </w:tcPr>
          <w:p w14:paraId="046034E6">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中国</w:t>
            </w:r>
          </w:p>
        </w:tc>
        <w:tc>
          <w:tcPr>
            <w:tcW w:w="851" w:type="dxa"/>
            <w:vAlign w:val="center"/>
          </w:tcPr>
          <w:p w14:paraId="2DE4F30B">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TS3-QCC010-06</w:t>
            </w:r>
          </w:p>
        </w:tc>
        <w:tc>
          <w:tcPr>
            <w:tcW w:w="992" w:type="dxa"/>
            <w:vAlign w:val="center"/>
          </w:tcPr>
          <w:p w14:paraId="5C1F53FA">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2021年12月20日</w:t>
            </w:r>
          </w:p>
        </w:tc>
        <w:tc>
          <w:tcPr>
            <w:tcW w:w="709" w:type="dxa"/>
            <w:vAlign w:val="center"/>
          </w:tcPr>
          <w:p w14:paraId="2ECCE6D9">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四川香雪制药有限公司质量部</w:t>
            </w:r>
          </w:p>
        </w:tc>
        <w:tc>
          <w:tcPr>
            <w:tcW w:w="1417" w:type="dxa"/>
            <w:vAlign w:val="center"/>
          </w:tcPr>
          <w:p w14:paraId="6ED50F16">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w:t>
            </w:r>
          </w:p>
        </w:tc>
        <w:tc>
          <w:tcPr>
            <w:tcW w:w="1104" w:type="dxa"/>
            <w:vAlign w:val="center"/>
          </w:tcPr>
          <w:p w14:paraId="1699D54B">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田春梅</w:t>
            </w:r>
          </w:p>
        </w:tc>
        <w:tc>
          <w:tcPr>
            <w:tcW w:w="1071" w:type="dxa"/>
            <w:vAlign w:val="center"/>
          </w:tcPr>
          <w:p w14:paraId="76EBD0D9">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有效</w:t>
            </w:r>
          </w:p>
        </w:tc>
      </w:tr>
      <w:tr w14:paraId="63CB2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34AD6971">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标准</w:t>
            </w:r>
          </w:p>
        </w:tc>
        <w:tc>
          <w:tcPr>
            <w:tcW w:w="1389" w:type="dxa"/>
            <w:vAlign w:val="center"/>
          </w:tcPr>
          <w:p w14:paraId="641E362E">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清半夏中间产品质量标准</w:t>
            </w:r>
          </w:p>
        </w:tc>
        <w:tc>
          <w:tcPr>
            <w:tcW w:w="737" w:type="dxa"/>
            <w:vAlign w:val="center"/>
          </w:tcPr>
          <w:p w14:paraId="3400993C">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中国</w:t>
            </w:r>
          </w:p>
        </w:tc>
        <w:tc>
          <w:tcPr>
            <w:tcW w:w="851" w:type="dxa"/>
            <w:vAlign w:val="center"/>
          </w:tcPr>
          <w:p w14:paraId="20D4B199">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TS3-QCZ013-05</w:t>
            </w:r>
          </w:p>
        </w:tc>
        <w:tc>
          <w:tcPr>
            <w:tcW w:w="992" w:type="dxa"/>
            <w:vAlign w:val="center"/>
          </w:tcPr>
          <w:p w14:paraId="0C26AC1C">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2021年12月20日</w:t>
            </w:r>
          </w:p>
        </w:tc>
        <w:tc>
          <w:tcPr>
            <w:tcW w:w="709" w:type="dxa"/>
            <w:vAlign w:val="center"/>
          </w:tcPr>
          <w:p w14:paraId="2337FE54">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四川香雪制药有限公司质量部</w:t>
            </w:r>
          </w:p>
        </w:tc>
        <w:tc>
          <w:tcPr>
            <w:tcW w:w="1417" w:type="dxa"/>
            <w:vAlign w:val="center"/>
          </w:tcPr>
          <w:p w14:paraId="3783C27E">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四川香雪制药有限公司</w:t>
            </w:r>
          </w:p>
        </w:tc>
        <w:tc>
          <w:tcPr>
            <w:tcW w:w="1104" w:type="dxa"/>
            <w:vAlign w:val="center"/>
          </w:tcPr>
          <w:p w14:paraId="5DDB241A">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田春梅</w:t>
            </w:r>
          </w:p>
        </w:tc>
        <w:tc>
          <w:tcPr>
            <w:tcW w:w="1071" w:type="dxa"/>
            <w:vAlign w:val="center"/>
          </w:tcPr>
          <w:p w14:paraId="6BC59BCA">
            <w:pPr>
              <w:pStyle w:val="6"/>
              <w:spacing w:line="390" w:lineRule="exact"/>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宋体"/>
                <w:color w:val="000000" w:themeColor="text1"/>
                <w:sz w:val="21"/>
                <w:szCs w:val="21"/>
                <w14:textFill>
                  <w14:solidFill>
                    <w14:schemeClr w14:val="tx1"/>
                  </w14:solidFill>
                </w14:textFill>
              </w:rPr>
              <w:t>有效</w:t>
            </w:r>
          </w:p>
        </w:tc>
      </w:tr>
      <w:tr w14:paraId="6FE40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141C4CDF">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实用新型专利</w:t>
            </w:r>
          </w:p>
        </w:tc>
        <w:tc>
          <w:tcPr>
            <w:tcW w:w="1389" w:type="dxa"/>
            <w:vAlign w:val="center"/>
          </w:tcPr>
          <w:p w14:paraId="5814DE49">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药学超声波清洗器</w:t>
            </w:r>
          </w:p>
        </w:tc>
        <w:tc>
          <w:tcPr>
            <w:tcW w:w="737" w:type="dxa"/>
            <w:vAlign w:val="center"/>
          </w:tcPr>
          <w:p w14:paraId="4C3C212E">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中国</w:t>
            </w:r>
          </w:p>
        </w:tc>
        <w:tc>
          <w:tcPr>
            <w:tcW w:w="851" w:type="dxa"/>
            <w:vAlign w:val="center"/>
          </w:tcPr>
          <w:p w14:paraId="07505954">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ZL202230767076.2</w:t>
            </w:r>
          </w:p>
        </w:tc>
        <w:tc>
          <w:tcPr>
            <w:tcW w:w="992" w:type="dxa"/>
            <w:vAlign w:val="center"/>
          </w:tcPr>
          <w:p w14:paraId="62BBF3B3">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2023年3月28日</w:t>
            </w:r>
          </w:p>
        </w:tc>
        <w:tc>
          <w:tcPr>
            <w:tcW w:w="709" w:type="dxa"/>
            <w:vAlign w:val="center"/>
          </w:tcPr>
          <w:p w14:paraId="77259B87">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第</w:t>
            </w:r>
          </w:p>
          <w:p w14:paraId="6104408D">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Style w:val="20"/>
                <w:rFonts w:hint="default" w:ascii="Times New Roman" w:hAnsi="Times New Roman"/>
                <w:color w:val="000000" w:themeColor="text1"/>
                <w:sz w:val="21"/>
                <w:szCs w:val="21"/>
                <w14:textFill>
                  <w14:solidFill>
                    <w14:schemeClr w14:val="tx1"/>
                  </w14:solidFill>
                </w14:textFill>
              </w:rPr>
              <w:t>7960008</w:t>
            </w:r>
            <w:r>
              <w:rPr>
                <w:rFonts w:hint="eastAsia" w:ascii="Times New Roman" w:hAnsi="Times New Roman"/>
                <w:color w:val="000000" w:themeColor="text1"/>
                <w:sz w:val="21"/>
                <w:szCs w:val="21"/>
                <w14:textFill>
                  <w14:solidFill>
                    <w14:schemeClr w14:val="tx1"/>
                  </w14:solidFill>
                </w14:textFill>
              </w:rPr>
              <w:t>号（</w:t>
            </w:r>
            <w:r>
              <w:rPr>
                <w:rFonts w:ascii="Times New Roman" w:hAnsi="Times New Roman"/>
                <w:color w:val="000000" w:themeColor="text1"/>
                <w:sz w:val="21"/>
                <w:szCs w:val="21"/>
                <w14:textFill>
                  <w14:solidFill>
                    <w14:schemeClr w14:val="tx1"/>
                  </w14:solidFill>
                </w14:textFill>
              </w:rPr>
              <w:t>国家知识产权局）</w:t>
            </w:r>
          </w:p>
        </w:tc>
        <w:tc>
          <w:tcPr>
            <w:tcW w:w="1417" w:type="dxa"/>
            <w:vAlign w:val="center"/>
          </w:tcPr>
          <w:p w14:paraId="1DF21DA4">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川北医学院</w:t>
            </w:r>
          </w:p>
        </w:tc>
        <w:tc>
          <w:tcPr>
            <w:tcW w:w="1104" w:type="dxa"/>
            <w:vAlign w:val="center"/>
          </w:tcPr>
          <w:p w14:paraId="6A553D46">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张王群，杨春艳，练春兰，查诗兰，石秀军，胡超，李海毓，吴稼琳</w:t>
            </w:r>
          </w:p>
        </w:tc>
        <w:tc>
          <w:tcPr>
            <w:tcW w:w="1071" w:type="dxa"/>
            <w:vAlign w:val="center"/>
          </w:tcPr>
          <w:p w14:paraId="0832769D">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有效</w:t>
            </w:r>
          </w:p>
        </w:tc>
      </w:tr>
      <w:tr w14:paraId="08D71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9" w:type="dxa"/>
            <w:vAlign w:val="center"/>
          </w:tcPr>
          <w:p w14:paraId="2F48D6D1">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实用新型专利</w:t>
            </w:r>
          </w:p>
        </w:tc>
        <w:tc>
          <w:tcPr>
            <w:tcW w:w="1389" w:type="dxa"/>
            <w:vAlign w:val="center"/>
          </w:tcPr>
          <w:p w14:paraId="2E769045">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一种药学实验提样器</w:t>
            </w:r>
          </w:p>
        </w:tc>
        <w:tc>
          <w:tcPr>
            <w:tcW w:w="737" w:type="dxa"/>
            <w:vAlign w:val="center"/>
          </w:tcPr>
          <w:p w14:paraId="28A54438">
            <w:pPr>
              <w:pStyle w:val="6"/>
              <w:spacing w:line="390" w:lineRule="exact"/>
              <w:ind w:firstLine="0" w:firstLineChars="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中国</w:t>
            </w:r>
          </w:p>
        </w:tc>
        <w:tc>
          <w:tcPr>
            <w:tcW w:w="851" w:type="dxa"/>
            <w:vAlign w:val="center"/>
          </w:tcPr>
          <w:p w14:paraId="17F9BBA8">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ZL202123058544.8</w:t>
            </w:r>
          </w:p>
        </w:tc>
        <w:tc>
          <w:tcPr>
            <w:tcW w:w="992" w:type="dxa"/>
            <w:vAlign w:val="center"/>
          </w:tcPr>
          <w:p w14:paraId="425A7E94">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2022年5月03日</w:t>
            </w:r>
          </w:p>
        </w:tc>
        <w:tc>
          <w:tcPr>
            <w:tcW w:w="709" w:type="dxa"/>
            <w:vAlign w:val="center"/>
          </w:tcPr>
          <w:p w14:paraId="47729D5A">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第 16412012号（国家知识产权局）</w:t>
            </w:r>
          </w:p>
        </w:tc>
        <w:tc>
          <w:tcPr>
            <w:tcW w:w="1417" w:type="dxa"/>
            <w:vAlign w:val="center"/>
          </w:tcPr>
          <w:p w14:paraId="42AC07A0">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川北医学院</w:t>
            </w:r>
          </w:p>
        </w:tc>
        <w:tc>
          <w:tcPr>
            <w:tcW w:w="1104" w:type="dxa"/>
            <w:vAlign w:val="center"/>
          </w:tcPr>
          <w:p w14:paraId="2DAE3190">
            <w:pPr>
              <w:pStyle w:val="6"/>
              <w:adjustRightInd w:val="0"/>
              <w:snapToGrid w:val="0"/>
              <w:spacing w:line="240" w:lineRule="auto"/>
              <w:ind w:firstLine="0" w:firstLineChars="0"/>
              <w:jc w:val="center"/>
              <w:rPr>
                <w:rFonts w:ascii="Times New Roman" w:hAnsi="宋体"/>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杨琴，蒲前，周春阳</w:t>
            </w:r>
          </w:p>
        </w:tc>
        <w:tc>
          <w:tcPr>
            <w:tcW w:w="1071" w:type="dxa"/>
            <w:vAlign w:val="center"/>
          </w:tcPr>
          <w:p w14:paraId="7D219CB2">
            <w:pPr>
              <w:pStyle w:val="6"/>
              <w:adjustRightInd w:val="0"/>
              <w:snapToGrid w:val="0"/>
              <w:spacing w:line="240" w:lineRule="auto"/>
              <w:ind w:firstLine="0" w:firstLineChars="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有效</w:t>
            </w:r>
          </w:p>
        </w:tc>
      </w:tr>
    </w:tbl>
    <w:p w14:paraId="0FDFFAFC">
      <w:pPr>
        <w:spacing w:line="390" w:lineRule="exact"/>
        <w:outlineLvl w:val="1"/>
        <w:rPr>
          <w:rFonts w:ascii="宋体" w:cs="Times New Roman"/>
          <w:b/>
          <w:color w:val="000000"/>
          <w:sz w:val="28"/>
          <w:szCs w:val="20"/>
        </w:rPr>
      </w:pPr>
    </w:p>
    <w:p w14:paraId="45B8012C">
      <w:pPr>
        <w:spacing w:line="390" w:lineRule="exact"/>
        <w:outlineLvl w:val="1"/>
        <w:rPr>
          <w:rFonts w:ascii="宋体" w:cs="Times New Roman"/>
          <w:b/>
          <w:color w:val="000000"/>
          <w:sz w:val="28"/>
          <w:szCs w:val="20"/>
        </w:rPr>
      </w:pPr>
    </w:p>
    <w:p w14:paraId="11694E45">
      <w:pPr>
        <w:spacing w:line="390" w:lineRule="exact"/>
        <w:jc w:val="center"/>
        <w:outlineLvl w:val="1"/>
        <w:rPr>
          <w:rFonts w:ascii="宋体" w:cs="Times New Roman"/>
          <w:b/>
          <w:color w:val="000000"/>
          <w:sz w:val="28"/>
          <w:szCs w:val="20"/>
        </w:rPr>
      </w:pPr>
      <w:r>
        <w:rPr>
          <w:rFonts w:hint="eastAsia" w:ascii="宋体" w:cs="Times New Roman"/>
          <w:b/>
          <w:color w:val="000000"/>
          <w:sz w:val="28"/>
          <w:szCs w:val="20"/>
        </w:rPr>
        <w:t>四、论文专著目录</w:t>
      </w:r>
      <w:r>
        <w:rPr>
          <w:rFonts w:hint="eastAsia" w:ascii="宋体" w:cs="宋体"/>
          <w:szCs w:val="21"/>
        </w:rPr>
        <w:t>（不超过5篇/部，非必填）</w:t>
      </w:r>
    </w:p>
    <w:tbl>
      <w:tblPr>
        <w:tblStyle w:val="10"/>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1"/>
        <w:gridCol w:w="2412"/>
        <w:gridCol w:w="688"/>
        <w:gridCol w:w="657"/>
        <w:gridCol w:w="743"/>
        <w:gridCol w:w="786"/>
        <w:gridCol w:w="1379"/>
        <w:gridCol w:w="522"/>
        <w:gridCol w:w="438"/>
        <w:gridCol w:w="599"/>
      </w:tblGrid>
      <w:tr w14:paraId="03A2F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11" w:type="dxa"/>
            <w:vAlign w:val="center"/>
          </w:tcPr>
          <w:p w14:paraId="5E394D6F">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序号</w:t>
            </w:r>
          </w:p>
        </w:tc>
        <w:tc>
          <w:tcPr>
            <w:tcW w:w="2412" w:type="dxa"/>
            <w:vAlign w:val="center"/>
          </w:tcPr>
          <w:p w14:paraId="7CBAF516">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论文（专著）</w:t>
            </w:r>
          </w:p>
          <w:p w14:paraId="3CAC702A">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名称/刊名</w:t>
            </w:r>
          </w:p>
          <w:p w14:paraId="50882A1D">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/作者</w:t>
            </w:r>
          </w:p>
        </w:tc>
        <w:tc>
          <w:tcPr>
            <w:tcW w:w="688" w:type="dxa"/>
            <w:vAlign w:val="center"/>
          </w:tcPr>
          <w:p w14:paraId="3B43AA32">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年卷页码</w:t>
            </w:r>
          </w:p>
          <w:p w14:paraId="5EBD7E8D">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（xx年xx卷</w:t>
            </w:r>
          </w:p>
          <w:p w14:paraId="57F91434">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xx页）</w:t>
            </w:r>
          </w:p>
        </w:tc>
        <w:tc>
          <w:tcPr>
            <w:tcW w:w="657" w:type="dxa"/>
            <w:vAlign w:val="center"/>
          </w:tcPr>
          <w:p w14:paraId="0F0761F5">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发表时间（年月 日）</w:t>
            </w:r>
          </w:p>
        </w:tc>
        <w:tc>
          <w:tcPr>
            <w:tcW w:w="743" w:type="dxa"/>
            <w:vAlign w:val="center"/>
          </w:tcPr>
          <w:p w14:paraId="23469552">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通讯作者（含共同）</w:t>
            </w:r>
          </w:p>
        </w:tc>
        <w:tc>
          <w:tcPr>
            <w:tcW w:w="786" w:type="dxa"/>
            <w:vAlign w:val="center"/>
          </w:tcPr>
          <w:p w14:paraId="34B33DA0">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第一作者（含共同）</w:t>
            </w:r>
          </w:p>
        </w:tc>
        <w:tc>
          <w:tcPr>
            <w:tcW w:w="1379" w:type="dxa"/>
            <w:vAlign w:val="center"/>
          </w:tcPr>
          <w:p w14:paraId="34F5AEFC">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国内作者</w:t>
            </w:r>
          </w:p>
        </w:tc>
        <w:tc>
          <w:tcPr>
            <w:tcW w:w="522" w:type="dxa"/>
            <w:vAlign w:val="center"/>
          </w:tcPr>
          <w:p w14:paraId="2872A973">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他引总次数</w:t>
            </w:r>
          </w:p>
        </w:tc>
        <w:tc>
          <w:tcPr>
            <w:tcW w:w="438" w:type="dxa"/>
            <w:vAlign w:val="center"/>
          </w:tcPr>
          <w:p w14:paraId="5445FE5D">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检索数据库</w:t>
            </w:r>
          </w:p>
        </w:tc>
        <w:tc>
          <w:tcPr>
            <w:tcW w:w="599" w:type="dxa"/>
            <w:vAlign w:val="center"/>
          </w:tcPr>
          <w:p w14:paraId="12C28051">
            <w:pPr>
              <w:pStyle w:val="6"/>
              <w:adjustRightInd w:val="0"/>
              <w:spacing w:line="28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论文署名单位是否包含国外单位</w:t>
            </w:r>
          </w:p>
        </w:tc>
      </w:tr>
      <w:tr w14:paraId="61855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11" w:type="dxa"/>
            <w:vAlign w:val="center"/>
          </w:tcPr>
          <w:p w14:paraId="797C1FC1">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1</w:t>
            </w:r>
          </w:p>
        </w:tc>
        <w:tc>
          <w:tcPr>
            <w:tcW w:w="2412" w:type="dxa"/>
            <w:vAlign w:val="center"/>
          </w:tcPr>
          <w:p w14:paraId="445CB8C8">
            <w:pPr>
              <w:jc w:val="left"/>
              <w:rPr>
                <w:rFonts w:ascii="Times New Roman" w:hAnsi="Times New Roman" w:cs="Times New Roman"/>
                <w:color w:val="000000"/>
                <w:sz w:val="18"/>
                <w:szCs w:val="18"/>
              </w:rPr>
            </w:pPr>
            <w:r>
              <w:rPr>
                <w:rFonts w:ascii="Times New Roman" w:hAnsi="Times New Roman" w:cs="Times New Roman"/>
                <w:color w:val="000000"/>
                <w:sz w:val="18"/>
                <w:szCs w:val="18"/>
              </w:rPr>
              <w:t>12-Epi-Napelline Inhibits Leukemia Cell Proliferation via the PI</w:t>
            </w:r>
            <w:r>
              <w:rPr>
                <w:rFonts w:ascii="Times New Roman" w:hAnsi="Times New Roman" w:cs="Times New Roman"/>
                <w:color w:val="000000"/>
                <w:sz w:val="18"/>
                <w:szCs w:val="18"/>
                <w:vertAlign w:val="subscript"/>
              </w:rPr>
              <w:t>3</w:t>
            </w:r>
            <w:r>
              <w:rPr>
                <w:rFonts w:ascii="Times New Roman" w:hAnsi="Times New Roman" w:cs="Times New Roman"/>
                <w:color w:val="000000"/>
                <w:sz w:val="18"/>
                <w:szCs w:val="18"/>
              </w:rPr>
              <w:t>K/AKT Signaling Pathway In Vitro and In Vivo / Evidence-Based Complementary and Alternative Medicine / Jia Han, Wei Hou, Bi-qing Cai, Fan Zhang, Jian-cai Tang</w:t>
            </w:r>
          </w:p>
        </w:tc>
        <w:tc>
          <w:tcPr>
            <w:tcW w:w="688" w:type="dxa"/>
            <w:vAlign w:val="center"/>
          </w:tcPr>
          <w:p w14:paraId="0047E002">
            <w:pPr>
              <w:jc w:val="left"/>
              <w:rPr>
                <w:rFonts w:ascii="Times New Roman" w:hAnsi="Times New Roman" w:cs="Times New Roman"/>
                <w:color w:val="000000"/>
                <w:sz w:val="18"/>
                <w:szCs w:val="18"/>
              </w:rPr>
            </w:pPr>
            <w:r>
              <w:rPr>
                <w:rFonts w:ascii="Times New Roman" w:hAnsi="Times New Roman" w:cs="Times New Roman"/>
                <w:color w:val="000000"/>
                <w:sz w:val="18"/>
                <w:szCs w:val="18"/>
              </w:rPr>
              <w:t>vol. 2021, Article ID 6687519</w:t>
            </w:r>
          </w:p>
        </w:tc>
        <w:tc>
          <w:tcPr>
            <w:tcW w:w="657" w:type="dxa"/>
            <w:vAlign w:val="center"/>
          </w:tcPr>
          <w:p w14:paraId="6AB2F9B3">
            <w:pPr>
              <w:jc w:val="left"/>
              <w:rPr>
                <w:rFonts w:ascii="Times New Roman" w:hAnsi="Times New Roman" w:cs="Times New Roman"/>
                <w:color w:val="000000"/>
                <w:sz w:val="18"/>
                <w:szCs w:val="18"/>
              </w:rPr>
            </w:pPr>
            <w:r>
              <w:rPr>
                <w:rFonts w:ascii="Times New Roman" w:hAnsi="Times New Roman" w:cs="Times New Roman"/>
                <w:color w:val="000000"/>
                <w:sz w:val="18"/>
                <w:szCs w:val="18"/>
              </w:rPr>
              <w:t>2021年7月</w:t>
            </w:r>
          </w:p>
        </w:tc>
        <w:tc>
          <w:tcPr>
            <w:tcW w:w="743" w:type="dxa"/>
            <w:vAlign w:val="center"/>
          </w:tcPr>
          <w:p w14:paraId="3D2ED3DB">
            <w:pPr>
              <w:jc w:val="left"/>
              <w:rPr>
                <w:rFonts w:ascii="Times New Roman" w:hAnsi="Times New Roman" w:cs="Times New Roman"/>
                <w:color w:val="000000"/>
                <w:sz w:val="18"/>
                <w:szCs w:val="18"/>
              </w:rPr>
            </w:pPr>
            <w:r>
              <w:rPr>
                <w:rFonts w:ascii="Times New Roman" w:hAnsi="Times New Roman" w:cs="Times New Roman"/>
                <w:color w:val="000000"/>
                <w:sz w:val="18"/>
                <w:szCs w:val="18"/>
              </w:rPr>
              <w:t>Fan Zhang, Jian-cai Tang</w:t>
            </w:r>
          </w:p>
        </w:tc>
        <w:tc>
          <w:tcPr>
            <w:tcW w:w="786" w:type="dxa"/>
            <w:vAlign w:val="center"/>
          </w:tcPr>
          <w:p w14:paraId="007725F6">
            <w:pPr>
              <w:jc w:val="left"/>
              <w:rPr>
                <w:rFonts w:ascii="Times New Roman" w:hAnsi="Times New Roman" w:cs="Times New Roman"/>
                <w:color w:val="000000"/>
                <w:sz w:val="18"/>
                <w:szCs w:val="18"/>
              </w:rPr>
            </w:pPr>
            <w:r>
              <w:rPr>
                <w:rFonts w:ascii="Times New Roman" w:hAnsi="Times New Roman" w:cs="Times New Roman"/>
                <w:color w:val="000000"/>
                <w:sz w:val="18"/>
                <w:szCs w:val="18"/>
              </w:rPr>
              <w:t>Jia Han</w:t>
            </w:r>
          </w:p>
        </w:tc>
        <w:tc>
          <w:tcPr>
            <w:tcW w:w="1379" w:type="dxa"/>
            <w:vAlign w:val="center"/>
          </w:tcPr>
          <w:p w14:paraId="472544C6">
            <w:pPr>
              <w:jc w:val="left"/>
              <w:rPr>
                <w:rFonts w:ascii="Times New Roman" w:hAnsi="Times New Roman" w:cs="Times New Roman"/>
                <w:color w:val="000000"/>
                <w:sz w:val="18"/>
                <w:szCs w:val="18"/>
              </w:rPr>
            </w:pPr>
            <w:r>
              <w:rPr>
                <w:rFonts w:ascii="Times New Roman" w:hAnsi="Times New Roman" w:cs="Times New Roman"/>
                <w:color w:val="000000"/>
                <w:sz w:val="18"/>
                <w:szCs w:val="18"/>
              </w:rPr>
              <w:t>Jia Han, Wei Hou, Bi-qing Cai, Fan Zhang, Jian-cai Tang</w:t>
            </w:r>
          </w:p>
        </w:tc>
        <w:tc>
          <w:tcPr>
            <w:tcW w:w="522" w:type="dxa"/>
            <w:vAlign w:val="center"/>
          </w:tcPr>
          <w:p w14:paraId="3736AB6C">
            <w:pPr>
              <w:jc w:val="center"/>
              <w:rPr>
                <w:rFonts w:ascii="Times New Roman" w:hAnsi="Times New Roman" w:cs="Times New Roman"/>
                <w:color w:val="000000"/>
                <w:sz w:val="18"/>
                <w:szCs w:val="18"/>
              </w:rPr>
            </w:pPr>
          </w:p>
        </w:tc>
        <w:tc>
          <w:tcPr>
            <w:tcW w:w="438" w:type="dxa"/>
            <w:vAlign w:val="center"/>
          </w:tcPr>
          <w:p w14:paraId="701FA59D">
            <w:pPr>
              <w:jc w:val="center"/>
              <w:rPr>
                <w:rFonts w:ascii="Times New Roman" w:hAnsi="Times New Roman" w:cs="Times New Roman"/>
                <w:color w:val="000000"/>
                <w:sz w:val="18"/>
                <w:szCs w:val="18"/>
              </w:rPr>
            </w:pPr>
            <w:r>
              <w:rPr>
                <w:rFonts w:ascii="Times New Roman" w:hAnsi="Times New Roman" w:cs="Times New Roman"/>
                <w:color w:val="000000"/>
                <w:sz w:val="18"/>
                <w:szCs w:val="18"/>
              </w:rPr>
              <w:t>SCIE</w:t>
            </w:r>
          </w:p>
        </w:tc>
        <w:tc>
          <w:tcPr>
            <w:tcW w:w="599" w:type="dxa"/>
            <w:vAlign w:val="center"/>
          </w:tcPr>
          <w:p w14:paraId="4793298C">
            <w:pPr>
              <w:ind w:left="-149" w:leftChars="-71"/>
              <w:jc w:val="center"/>
              <w:rPr>
                <w:rFonts w:ascii="Times New Roman" w:hAnsi="Times New Roman" w:cs="Times New Roman"/>
                <w:color w:val="000000"/>
                <w:sz w:val="18"/>
                <w:szCs w:val="18"/>
              </w:rPr>
            </w:pPr>
            <w:r>
              <w:rPr>
                <w:rFonts w:ascii="Times New Roman" w:hAnsi="Times New Roman" w:cs="Times New Roman"/>
                <w:color w:val="000000"/>
                <w:sz w:val="18"/>
                <w:szCs w:val="18"/>
              </w:rPr>
              <w:t>否</w:t>
            </w:r>
          </w:p>
        </w:tc>
      </w:tr>
      <w:tr w14:paraId="20281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11" w:type="dxa"/>
            <w:vAlign w:val="center"/>
          </w:tcPr>
          <w:p w14:paraId="082957D4">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2</w:t>
            </w:r>
          </w:p>
        </w:tc>
        <w:tc>
          <w:tcPr>
            <w:tcW w:w="2412" w:type="dxa"/>
            <w:vAlign w:val="center"/>
          </w:tcPr>
          <w:p w14:paraId="7E626389">
            <w:pPr>
              <w:jc w:val="left"/>
              <w:rPr>
                <w:rFonts w:ascii="Times New Roman" w:hAnsi="Times New Roman" w:cs="Times New Roman"/>
                <w:color w:val="000000"/>
                <w:sz w:val="18"/>
                <w:szCs w:val="18"/>
              </w:rPr>
            </w:pPr>
            <w:r>
              <w:rPr>
                <w:rFonts w:ascii="Times New Roman" w:hAnsi="Times New Roman" w:cs="Times New Roman"/>
                <w:color w:val="000000"/>
                <w:sz w:val="18"/>
                <w:szCs w:val="18"/>
              </w:rPr>
              <w:t>Serum proteomics unveil characteristic protein diagnostic biomarkers and signaling pathways in patients with esophageal squamous cell carcinoma / Clinical Proteomics / Wenhu Liu, Qiang Wang, Jinxia Chang, Anup Bhetuwal, Nisha Bhattarai, Fan Zhang, Jiancai Tang</w:t>
            </w:r>
          </w:p>
        </w:tc>
        <w:tc>
          <w:tcPr>
            <w:tcW w:w="688" w:type="dxa"/>
            <w:vAlign w:val="center"/>
          </w:tcPr>
          <w:p w14:paraId="33525019">
            <w:pPr>
              <w:jc w:val="left"/>
              <w:rPr>
                <w:rFonts w:ascii="Times New Roman" w:hAnsi="Times New Roman" w:cs="Times New Roman"/>
                <w:color w:val="000000"/>
                <w:sz w:val="18"/>
                <w:szCs w:val="18"/>
              </w:rPr>
            </w:pPr>
            <w:r>
              <w:rPr>
                <w:rFonts w:ascii="Times New Roman" w:hAnsi="Times New Roman" w:cs="Times New Roman"/>
                <w:color w:val="000000"/>
                <w:sz w:val="18"/>
                <w:szCs w:val="18"/>
              </w:rPr>
              <w:t>2022，Article ID 18</w:t>
            </w:r>
          </w:p>
        </w:tc>
        <w:tc>
          <w:tcPr>
            <w:tcW w:w="657" w:type="dxa"/>
            <w:vAlign w:val="center"/>
          </w:tcPr>
          <w:p w14:paraId="74FF84C5">
            <w:pPr>
              <w:jc w:val="left"/>
              <w:rPr>
                <w:rFonts w:ascii="Times New Roman" w:hAnsi="Times New Roman" w:cs="Times New Roman"/>
                <w:color w:val="000000"/>
                <w:sz w:val="18"/>
                <w:szCs w:val="18"/>
              </w:rPr>
            </w:pPr>
            <w:r>
              <w:rPr>
                <w:rFonts w:ascii="Times New Roman" w:hAnsi="Times New Roman" w:cs="Times New Roman"/>
                <w:color w:val="000000"/>
                <w:sz w:val="18"/>
                <w:szCs w:val="18"/>
              </w:rPr>
              <w:t>2022年5月</w:t>
            </w:r>
          </w:p>
        </w:tc>
        <w:tc>
          <w:tcPr>
            <w:tcW w:w="743" w:type="dxa"/>
            <w:vAlign w:val="center"/>
          </w:tcPr>
          <w:p w14:paraId="65C25BB4">
            <w:pPr>
              <w:jc w:val="left"/>
              <w:rPr>
                <w:rFonts w:ascii="Times New Roman" w:hAnsi="Times New Roman" w:cs="Times New Roman"/>
                <w:color w:val="000000"/>
                <w:sz w:val="18"/>
                <w:szCs w:val="18"/>
              </w:rPr>
            </w:pPr>
            <w:r>
              <w:rPr>
                <w:rFonts w:ascii="Times New Roman" w:hAnsi="Times New Roman" w:cs="Times New Roman"/>
                <w:color w:val="000000"/>
                <w:sz w:val="18"/>
                <w:szCs w:val="18"/>
              </w:rPr>
              <w:t>Fan Zhang, Jiancai Tang</w:t>
            </w:r>
          </w:p>
        </w:tc>
        <w:tc>
          <w:tcPr>
            <w:tcW w:w="786" w:type="dxa"/>
            <w:vAlign w:val="center"/>
          </w:tcPr>
          <w:p w14:paraId="6F13FBE4">
            <w:pPr>
              <w:jc w:val="left"/>
              <w:rPr>
                <w:rFonts w:ascii="Times New Roman" w:hAnsi="Times New Roman" w:cs="Times New Roman"/>
                <w:color w:val="000000"/>
                <w:sz w:val="18"/>
                <w:szCs w:val="18"/>
              </w:rPr>
            </w:pPr>
            <w:r>
              <w:rPr>
                <w:rFonts w:ascii="Times New Roman" w:hAnsi="Times New Roman" w:cs="Times New Roman"/>
                <w:color w:val="000000"/>
                <w:sz w:val="18"/>
                <w:szCs w:val="18"/>
              </w:rPr>
              <w:t>Wenhu Liu</w:t>
            </w:r>
          </w:p>
        </w:tc>
        <w:tc>
          <w:tcPr>
            <w:tcW w:w="1379" w:type="dxa"/>
            <w:vAlign w:val="center"/>
          </w:tcPr>
          <w:p w14:paraId="24FCD61D">
            <w:pPr>
              <w:jc w:val="left"/>
              <w:rPr>
                <w:rFonts w:ascii="Times New Roman" w:hAnsi="Times New Roman" w:cs="Times New Roman"/>
                <w:color w:val="000000"/>
                <w:sz w:val="18"/>
                <w:szCs w:val="18"/>
              </w:rPr>
            </w:pPr>
            <w:r>
              <w:rPr>
                <w:rFonts w:ascii="Times New Roman" w:hAnsi="Times New Roman" w:cs="Times New Roman"/>
                <w:color w:val="000000"/>
                <w:sz w:val="18"/>
                <w:szCs w:val="18"/>
              </w:rPr>
              <w:t>Wenhu Liu, Qiang Wang, Jinxia Chang, Anup Bhetuwal, Nisha Bhattarai, Fan Zhang, Jiancai Tang</w:t>
            </w:r>
          </w:p>
        </w:tc>
        <w:tc>
          <w:tcPr>
            <w:tcW w:w="522" w:type="dxa"/>
            <w:vAlign w:val="center"/>
          </w:tcPr>
          <w:p w14:paraId="6EA74D37">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438" w:type="dxa"/>
            <w:vAlign w:val="center"/>
          </w:tcPr>
          <w:p w14:paraId="5D308B31">
            <w:pPr>
              <w:jc w:val="center"/>
              <w:rPr>
                <w:rFonts w:ascii="Times New Roman" w:hAnsi="Times New Roman" w:cs="Times New Roman"/>
                <w:color w:val="000000"/>
                <w:sz w:val="18"/>
                <w:szCs w:val="18"/>
              </w:rPr>
            </w:pPr>
            <w:r>
              <w:rPr>
                <w:rFonts w:ascii="Times New Roman" w:hAnsi="Times New Roman" w:cs="Times New Roman"/>
                <w:color w:val="000000"/>
                <w:sz w:val="18"/>
                <w:szCs w:val="18"/>
              </w:rPr>
              <w:t>SCIE</w:t>
            </w:r>
          </w:p>
        </w:tc>
        <w:tc>
          <w:tcPr>
            <w:tcW w:w="599" w:type="dxa"/>
            <w:vAlign w:val="center"/>
          </w:tcPr>
          <w:p w14:paraId="3AA64536">
            <w:pPr>
              <w:ind w:left="-149" w:leftChars="-71"/>
              <w:jc w:val="center"/>
              <w:rPr>
                <w:rFonts w:ascii="Times New Roman" w:hAnsi="Times New Roman" w:cs="Times New Roman"/>
                <w:color w:val="000000"/>
                <w:sz w:val="18"/>
                <w:szCs w:val="18"/>
              </w:rPr>
            </w:pPr>
            <w:r>
              <w:rPr>
                <w:rFonts w:ascii="Times New Roman" w:hAnsi="Times New Roman" w:cs="Times New Roman"/>
                <w:color w:val="000000"/>
                <w:sz w:val="18"/>
                <w:szCs w:val="18"/>
              </w:rPr>
              <w:t>否</w:t>
            </w:r>
          </w:p>
        </w:tc>
      </w:tr>
      <w:tr w14:paraId="28CDD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1" w:type="dxa"/>
            <w:vAlign w:val="center"/>
          </w:tcPr>
          <w:p w14:paraId="3D52AC33">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3</w:t>
            </w:r>
          </w:p>
        </w:tc>
        <w:tc>
          <w:tcPr>
            <w:tcW w:w="2412" w:type="dxa"/>
            <w:vAlign w:val="center"/>
          </w:tcPr>
          <w:p w14:paraId="739F1D82">
            <w:pPr>
              <w:jc w:val="left"/>
              <w:rPr>
                <w:rFonts w:ascii="Times New Roman" w:hAnsi="Times New Roman" w:cs="Times New Roman"/>
                <w:color w:val="000000"/>
                <w:sz w:val="18"/>
                <w:szCs w:val="18"/>
              </w:rPr>
            </w:pPr>
            <w:r>
              <w:rPr>
                <w:rFonts w:ascii="Times New Roman" w:hAnsi="Times New Roman" w:cs="Times New Roman"/>
                <w:color w:val="000000"/>
                <w:sz w:val="18"/>
                <w:szCs w:val="18"/>
              </w:rPr>
              <w:t>Comparison of Volatile Oil between the Ligusticum sinese Oliv. and Ligusticum jeholense Nakai et Kitag. Based on GC-MS and Chemical Pattern Recognition Analysis / Molecules / Shengmao Li, Yu Huang, Fan Zhang, Hui Ao, Lu Chen</w:t>
            </w:r>
          </w:p>
        </w:tc>
        <w:tc>
          <w:tcPr>
            <w:tcW w:w="688" w:type="dxa"/>
            <w:vAlign w:val="center"/>
          </w:tcPr>
          <w:p w14:paraId="5B9D9F72">
            <w:pPr>
              <w:jc w:val="left"/>
              <w:rPr>
                <w:rFonts w:ascii="Times New Roman" w:hAnsi="Times New Roman" w:cs="Times New Roman"/>
                <w:color w:val="000000"/>
                <w:sz w:val="18"/>
                <w:szCs w:val="18"/>
              </w:rPr>
            </w:pPr>
            <w:r>
              <w:rPr>
                <w:rFonts w:ascii="Times New Roman" w:hAnsi="Times New Roman" w:cs="Times New Roman"/>
                <w:color w:val="000000"/>
                <w:sz w:val="18"/>
                <w:szCs w:val="18"/>
              </w:rPr>
              <w:t>2022, 27: 5325-5335</w:t>
            </w:r>
          </w:p>
        </w:tc>
        <w:tc>
          <w:tcPr>
            <w:tcW w:w="657" w:type="dxa"/>
            <w:vAlign w:val="center"/>
          </w:tcPr>
          <w:p w14:paraId="264947A9">
            <w:pPr>
              <w:jc w:val="left"/>
              <w:rPr>
                <w:rFonts w:ascii="Times New Roman" w:hAnsi="Times New Roman" w:cs="Times New Roman"/>
                <w:color w:val="000000"/>
                <w:sz w:val="18"/>
                <w:szCs w:val="18"/>
              </w:rPr>
            </w:pPr>
            <w:r>
              <w:rPr>
                <w:rFonts w:ascii="Times New Roman" w:hAnsi="Times New Roman" w:cs="Times New Roman"/>
                <w:color w:val="000000"/>
                <w:sz w:val="18"/>
                <w:szCs w:val="18"/>
              </w:rPr>
              <w:t>2022年8月</w:t>
            </w:r>
          </w:p>
        </w:tc>
        <w:tc>
          <w:tcPr>
            <w:tcW w:w="743" w:type="dxa"/>
            <w:vAlign w:val="center"/>
          </w:tcPr>
          <w:p w14:paraId="61E5A7D3">
            <w:pPr>
              <w:jc w:val="left"/>
              <w:rPr>
                <w:rFonts w:ascii="Times New Roman" w:hAnsi="Times New Roman" w:cs="Times New Roman"/>
                <w:color w:val="000000"/>
                <w:sz w:val="18"/>
                <w:szCs w:val="18"/>
              </w:rPr>
            </w:pPr>
            <w:r>
              <w:rPr>
                <w:rFonts w:ascii="Times New Roman" w:hAnsi="Times New Roman" w:cs="Times New Roman"/>
                <w:color w:val="000000"/>
                <w:sz w:val="18"/>
                <w:szCs w:val="18"/>
              </w:rPr>
              <w:t>Fan Zhang, Hui Ao, Lu Chen</w:t>
            </w:r>
          </w:p>
        </w:tc>
        <w:tc>
          <w:tcPr>
            <w:tcW w:w="786" w:type="dxa"/>
            <w:vAlign w:val="center"/>
          </w:tcPr>
          <w:p w14:paraId="079753B6">
            <w:pPr>
              <w:jc w:val="left"/>
              <w:rPr>
                <w:rFonts w:ascii="Times New Roman" w:hAnsi="Times New Roman" w:cs="Times New Roman"/>
                <w:color w:val="000000"/>
                <w:sz w:val="18"/>
                <w:szCs w:val="18"/>
              </w:rPr>
            </w:pPr>
            <w:r>
              <w:rPr>
                <w:rFonts w:ascii="Times New Roman" w:hAnsi="Times New Roman" w:cs="Times New Roman"/>
                <w:color w:val="000000"/>
                <w:sz w:val="18"/>
                <w:szCs w:val="18"/>
              </w:rPr>
              <w:t>Shengmao Li</w:t>
            </w:r>
          </w:p>
        </w:tc>
        <w:tc>
          <w:tcPr>
            <w:tcW w:w="1379" w:type="dxa"/>
            <w:vAlign w:val="center"/>
          </w:tcPr>
          <w:p w14:paraId="57F87CCA">
            <w:pPr>
              <w:jc w:val="left"/>
              <w:rPr>
                <w:rFonts w:ascii="Times New Roman" w:hAnsi="Times New Roman" w:cs="Times New Roman"/>
                <w:color w:val="000000"/>
                <w:sz w:val="18"/>
                <w:szCs w:val="18"/>
              </w:rPr>
            </w:pPr>
            <w:r>
              <w:rPr>
                <w:rFonts w:ascii="Times New Roman" w:hAnsi="Times New Roman" w:cs="Times New Roman"/>
                <w:color w:val="000000"/>
                <w:sz w:val="18"/>
                <w:szCs w:val="18"/>
              </w:rPr>
              <w:t>Shengmao Li, Yu Huang, Fan Zhang, Hui Ao, Lu Chen</w:t>
            </w:r>
          </w:p>
        </w:tc>
        <w:tc>
          <w:tcPr>
            <w:tcW w:w="522" w:type="dxa"/>
            <w:vAlign w:val="center"/>
          </w:tcPr>
          <w:p w14:paraId="6D9F6104">
            <w:pPr>
              <w:jc w:val="center"/>
              <w:rPr>
                <w:rFonts w:ascii="Times New Roman" w:hAnsi="Times New Roman" w:cs="Times New Roman"/>
                <w:color w:val="000000"/>
                <w:sz w:val="18"/>
                <w:szCs w:val="18"/>
              </w:rPr>
            </w:pPr>
          </w:p>
        </w:tc>
        <w:tc>
          <w:tcPr>
            <w:tcW w:w="438" w:type="dxa"/>
            <w:vAlign w:val="center"/>
          </w:tcPr>
          <w:p w14:paraId="0511334F">
            <w:pPr>
              <w:jc w:val="center"/>
              <w:rPr>
                <w:rFonts w:ascii="Times New Roman" w:hAnsi="Times New Roman" w:cs="Times New Roman"/>
                <w:color w:val="000000"/>
                <w:sz w:val="18"/>
                <w:szCs w:val="18"/>
              </w:rPr>
            </w:pPr>
            <w:r>
              <w:rPr>
                <w:rFonts w:ascii="Times New Roman" w:hAnsi="Times New Roman" w:cs="Times New Roman"/>
                <w:color w:val="000000"/>
                <w:sz w:val="18"/>
                <w:szCs w:val="18"/>
              </w:rPr>
              <w:t>SCIE</w:t>
            </w:r>
          </w:p>
        </w:tc>
        <w:tc>
          <w:tcPr>
            <w:tcW w:w="599" w:type="dxa"/>
            <w:vAlign w:val="center"/>
          </w:tcPr>
          <w:p w14:paraId="749FE278">
            <w:pPr>
              <w:ind w:left="-149" w:leftChars="-71"/>
              <w:jc w:val="center"/>
              <w:rPr>
                <w:rFonts w:ascii="Times New Roman" w:hAnsi="Times New Roman" w:cs="Times New Roman"/>
                <w:color w:val="000000"/>
                <w:sz w:val="18"/>
                <w:szCs w:val="18"/>
              </w:rPr>
            </w:pPr>
            <w:r>
              <w:rPr>
                <w:rFonts w:ascii="Times New Roman" w:hAnsi="Times New Roman" w:cs="Times New Roman"/>
                <w:color w:val="000000"/>
                <w:sz w:val="18"/>
                <w:szCs w:val="18"/>
              </w:rPr>
              <w:t>否</w:t>
            </w:r>
          </w:p>
        </w:tc>
      </w:tr>
      <w:tr w14:paraId="3A184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11" w:type="dxa"/>
            <w:vAlign w:val="center"/>
          </w:tcPr>
          <w:p w14:paraId="6E2E5C9D">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4</w:t>
            </w:r>
          </w:p>
        </w:tc>
        <w:tc>
          <w:tcPr>
            <w:tcW w:w="2412" w:type="dxa"/>
            <w:vAlign w:val="center"/>
          </w:tcPr>
          <w:p w14:paraId="4F0E069F">
            <w:pPr>
              <w:jc w:val="center"/>
              <w:rPr>
                <w:rFonts w:ascii="Times New Roman" w:hAnsi="Times New Roman" w:cs="Times New Roman"/>
                <w:color w:val="000000"/>
                <w:sz w:val="18"/>
                <w:szCs w:val="18"/>
              </w:rPr>
            </w:pPr>
            <w:r>
              <w:rPr>
                <w:rFonts w:ascii="Times New Roman" w:hAnsi="Times New Roman" w:cs="Times New Roman"/>
                <w:color w:val="000000"/>
                <w:sz w:val="18"/>
                <w:szCs w:val="18"/>
              </w:rPr>
              <w:t>HPLC法同时测定不同产地佛手中5个成分的含量 / 药物分析杂志 / 魏莹,陈珍,杨兰,杨春艳,刘福,张帆</w:t>
            </w:r>
          </w:p>
        </w:tc>
        <w:tc>
          <w:tcPr>
            <w:tcW w:w="688" w:type="dxa"/>
            <w:vAlign w:val="center"/>
          </w:tcPr>
          <w:p w14:paraId="31C24C8B">
            <w:pPr>
              <w:jc w:val="center"/>
              <w:rPr>
                <w:rFonts w:ascii="Times New Roman" w:hAnsi="Times New Roman" w:cs="Times New Roman"/>
                <w:sz w:val="18"/>
                <w:szCs w:val="18"/>
              </w:rPr>
            </w:pPr>
            <w:r>
              <w:rPr>
                <w:rFonts w:ascii="Times New Roman" w:hAnsi="Times New Roman" w:cs="Times New Roman"/>
                <w:sz w:val="18"/>
                <w:szCs w:val="18"/>
              </w:rPr>
              <w:t>2017, 37(12): 2180-2184</w:t>
            </w:r>
          </w:p>
        </w:tc>
        <w:tc>
          <w:tcPr>
            <w:tcW w:w="657" w:type="dxa"/>
            <w:vAlign w:val="center"/>
          </w:tcPr>
          <w:p w14:paraId="4A05EF23">
            <w:pPr>
              <w:jc w:val="center"/>
              <w:rPr>
                <w:rFonts w:ascii="Times New Roman" w:hAnsi="Times New Roman" w:cs="Times New Roman"/>
                <w:sz w:val="18"/>
                <w:szCs w:val="18"/>
              </w:rPr>
            </w:pPr>
            <w:r>
              <w:rPr>
                <w:rFonts w:ascii="Times New Roman" w:hAnsi="Times New Roman" w:cs="Times New Roman"/>
                <w:sz w:val="18"/>
                <w:szCs w:val="18"/>
              </w:rPr>
              <w:t>2017年12月31日</w:t>
            </w:r>
          </w:p>
        </w:tc>
        <w:tc>
          <w:tcPr>
            <w:tcW w:w="743" w:type="dxa"/>
            <w:vAlign w:val="center"/>
          </w:tcPr>
          <w:p w14:paraId="68E48D20">
            <w:pPr>
              <w:jc w:val="center"/>
              <w:rPr>
                <w:rFonts w:ascii="Times New Roman" w:hAnsi="Times New Roman" w:cs="Times New Roman"/>
                <w:sz w:val="18"/>
                <w:szCs w:val="18"/>
              </w:rPr>
            </w:pPr>
            <w:r>
              <w:rPr>
                <w:rFonts w:ascii="Times New Roman" w:hAnsi="Times New Roman" w:cs="Times New Roman"/>
                <w:sz w:val="18"/>
                <w:szCs w:val="18"/>
              </w:rPr>
              <w:t>张帆</w:t>
            </w:r>
          </w:p>
        </w:tc>
        <w:tc>
          <w:tcPr>
            <w:tcW w:w="786" w:type="dxa"/>
            <w:vAlign w:val="center"/>
          </w:tcPr>
          <w:p w14:paraId="2D14F32A">
            <w:pPr>
              <w:jc w:val="center"/>
              <w:rPr>
                <w:rFonts w:ascii="Times New Roman" w:hAnsi="Times New Roman" w:cs="Times New Roman"/>
                <w:sz w:val="18"/>
                <w:szCs w:val="18"/>
              </w:rPr>
            </w:pPr>
            <w:r>
              <w:rPr>
                <w:rFonts w:ascii="Times New Roman" w:hAnsi="Times New Roman" w:cs="Times New Roman"/>
                <w:sz w:val="18"/>
                <w:szCs w:val="18"/>
              </w:rPr>
              <w:t>魏莹</w:t>
            </w:r>
          </w:p>
        </w:tc>
        <w:tc>
          <w:tcPr>
            <w:tcW w:w="1379" w:type="dxa"/>
            <w:vAlign w:val="center"/>
          </w:tcPr>
          <w:p w14:paraId="1E98C26C">
            <w:pPr>
              <w:jc w:val="center"/>
              <w:rPr>
                <w:rFonts w:ascii="Times New Roman" w:hAnsi="Times New Roman" w:cs="Times New Roman"/>
                <w:sz w:val="18"/>
                <w:szCs w:val="18"/>
              </w:rPr>
            </w:pPr>
            <w:r>
              <w:rPr>
                <w:rFonts w:ascii="Times New Roman" w:hAnsi="Times New Roman" w:cs="Times New Roman"/>
                <w:sz w:val="18"/>
                <w:szCs w:val="18"/>
              </w:rPr>
              <w:t>魏莹,陈珍,杨兰,杨春艳,刘福,张帆</w:t>
            </w:r>
          </w:p>
        </w:tc>
        <w:tc>
          <w:tcPr>
            <w:tcW w:w="522" w:type="dxa"/>
            <w:vAlign w:val="center"/>
          </w:tcPr>
          <w:p w14:paraId="62FA5760">
            <w:pPr>
              <w:jc w:val="center"/>
              <w:rPr>
                <w:rFonts w:ascii="Times New Roman" w:hAnsi="Times New Roman" w:cs="Times New Roman"/>
                <w:sz w:val="18"/>
                <w:szCs w:val="18"/>
              </w:rPr>
            </w:pPr>
            <w:r>
              <w:rPr>
                <w:rFonts w:ascii="Times New Roman" w:hAnsi="Times New Roman" w:cs="Times New Roman"/>
                <w:sz w:val="18"/>
                <w:szCs w:val="18"/>
              </w:rPr>
              <w:t>22</w:t>
            </w:r>
          </w:p>
        </w:tc>
        <w:tc>
          <w:tcPr>
            <w:tcW w:w="438" w:type="dxa"/>
            <w:vAlign w:val="center"/>
          </w:tcPr>
          <w:p w14:paraId="1985D8E0">
            <w:pPr>
              <w:jc w:val="center"/>
              <w:rPr>
                <w:rFonts w:ascii="Times New Roman" w:hAnsi="Times New Roman" w:cs="Times New Roman"/>
                <w:sz w:val="18"/>
                <w:szCs w:val="18"/>
              </w:rPr>
            </w:pPr>
            <w:r>
              <w:rPr>
                <w:rFonts w:ascii="Times New Roman" w:hAnsi="Times New Roman" w:cs="Times New Roman"/>
                <w:sz w:val="18"/>
                <w:szCs w:val="18"/>
              </w:rPr>
              <w:t>中国知网</w:t>
            </w:r>
          </w:p>
        </w:tc>
        <w:tc>
          <w:tcPr>
            <w:tcW w:w="599" w:type="dxa"/>
            <w:vAlign w:val="center"/>
          </w:tcPr>
          <w:p w14:paraId="10C4EE0B">
            <w:pPr>
              <w:ind w:left="-149" w:leftChars="-71" w:right="-59" w:rightChars="-28"/>
              <w:jc w:val="center"/>
              <w:rPr>
                <w:rFonts w:ascii="Times New Roman" w:hAnsi="Times New Roman" w:cs="Times New Roman"/>
                <w:sz w:val="18"/>
                <w:szCs w:val="18"/>
              </w:rPr>
            </w:pPr>
            <w:r>
              <w:rPr>
                <w:rFonts w:ascii="Times New Roman" w:hAnsi="Times New Roman" w:cs="Times New Roman"/>
                <w:sz w:val="18"/>
                <w:szCs w:val="18"/>
              </w:rPr>
              <w:t>否</w:t>
            </w:r>
          </w:p>
        </w:tc>
      </w:tr>
      <w:tr w14:paraId="1D887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11" w:type="dxa"/>
            <w:vAlign w:val="center"/>
          </w:tcPr>
          <w:p w14:paraId="43AA5ACA">
            <w:pPr>
              <w:pStyle w:val="6"/>
              <w:adjustRightInd w:val="0"/>
              <w:spacing w:after="50" w:line="300" w:lineRule="exact"/>
              <w:ind w:firstLine="0" w:firstLineChars="0"/>
              <w:jc w:val="center"/>
              <w:outlineLvl w:val="1"/>
              <w:rPr>
                <w:rFonts w:ascii="宋体" w:hAnsi="宋体"/>
                <w:color w:val="000000"/>
                <w:sz w:val="21"/>
                <w:szCs w:val="28"/>
              </w:rPr>
            </w:pPr>
            <w:r>
              <w:rPr>
                <w:rFonts w:hint="eastAsia" w:ascii="宋体" w:hAnsi="宋体"/>
                <w:color w:val="000000"/>
                <w:sz w:val="21"/>
                <w:szCs w:val="28"/>
              </w:rPr>
              <w:t>5</w:t>
            </w:r>
          </w:p>
        </w:tc>
        <w:tc>
          <w:tcPr>
            <w:tcW w:w="2412" w:type="dxa"/>
            <w:vAlign w:val="center"/>
          </w:tcPr>
          <w:p w14:paraId="0F4C92ED">
            <w:pPr>
              <w:rPr>
                <w:rFonts w:ascii="Times New Roman" w:hAnsi="Times New Roman" w:cs="Times New Roman"/>
                <w:sz w:val="18"/>
                <w:szCs w:val="18"/>
              </w:rPr>
            </w:pPr>
            <w:r>
              <w:rPr>
                <w:rFonts w:ascii="Times New Roman" w:hAnsi="Times New Roman" w:cs="Times New Roman"/>
                <w:sz w:val="18"/>
                <w:szCs w:val="18"/>
              </w:rPr>
              <w:t>多根乌头不同部位提取物的急性毒性与抗炎镇痛活性的研究 / 华西药学杂志 / 张帆,李生茂,余志银,孙芸</w:t>
            </w:r>
          </w:p>
        </w:tc>
        <w:tc>
          <w:tcPr>
            <w:tcW w:w="688" w:type="dxa"/>
            <w:vAlign w:val="center"/>
          </w:tcPr>
          <w:p w14:paraId="099F2857">
            <w:pPr>
              <w:jc w:val="center"/>
              <w:rPr>
                <w:rFonts w:ascii="Times New Roman" w:hAnsi="Times New Roman" w:cs="Times New Roman"/>
                <w:sz w:val="18"/>
                <w:szCs w:val="18"/>
              </w:rPr>
            </w:pPr>
            <w:r>
              <w:rPr>
                <w:rFonts w:ascii="Times New Roman" w:hAnsi="Times New Roman" w:cs="Times New Roman"/>
                <w:sz w:val="18"/>
                <w:szCs w:val="18"/>
              </w:rPr>
              <w:t>2017, 32(1): 52-54</w:t>
            </w:r>
          </w:p>
        </w:tc>
        <w:tc>
          <w:tcPr>
            <w:tcW w:w="657" w:type="dxa"/>
            <w:vAlign w:val="center"/>
          </w:tcPr>
          <w:p w14:paraId="6A2570FA">
            <w:pPr>
              <w:jc w:val="center"/>
              <w:rPr>
                <w:rFonts w:ascii="Times New Roman" w:hAnsi="Times New Roman" w:cs="Times New Roman"/>
                <w:sz w:val="18"/>
                <w:szCs w:val="18"/>
              </w:rPr>
            </w:pPr>
            <w:r>
              <w:rPr>
                <w:rFonts w:ascii="Times New Roman" w:hAnsi="Times New Roman" w:cs="Times New Roman"/>
                <w:sz w:val="18"/>
                <w:szCs w:val="18"/>
              </w:rPr>
              <w:t>2017年2月15日</w:t>
            </w:r>
          </w:p>
        </w:tc>
        <w:tc>
          <w:tcPr>
            <w:tcW w:w="743" w:type="dxa"/>
            <w:vAlign w:val="center"/>
          </w:tcPr>
          <w:p w14:paraId="50183AC1">
            <w:pPr>
              <w:jc w:val="center"/>
              <w:rPr>
                <w:rFonts w:ascii="Times New Roman" w:hAnsi="Times New Roman" w:cs="Times New Roman"/>
                <w:sz w:val="18"/>
                <w:szCs w:val="18"/>
              </w:rPr>
            </w:pPr>
            <w:r>
              <w:rPr>
                <w:rFonts w:ascii="Times New Roman" w:hAnsi="Times New Roman" w:cs="Times New Roman"/>
                <w:sz w:val="18"/>
                <w:szCs w:val="18"/>
              </w:rPr>
              <w:t>张帆</w:t>
            </w:r>
          </w:p>
        </w:tc>
        <w:tc>
          <w:tcPr>
            <w:tcW w:w="786" w:type="dxa"/>
            <w:vAlign w:val="center"/>
          </w:tcPr>
          <w:p w14:paraId="4D3CE1BC">
            <w:pPr>
              <w:jc w:val="center"/>
              <w:rPr>
                <w:rFonts w:ascii="Times New Roman" w:hAnsi="Times New Roman" w:cs="Times New Roman"/>
                <w:sz w:val="18"/>
                <w:szCs w:val="18"/>
              </w:rPr>
            </w:pPr>
            <w:r>
              <w:rPr>
                <w:rFonts w:ascii="Times New Roman" w:hAnsi="Times New Roman" w:cs="Times New Roman"/>
                <w:sz w:val="18"/>
                <w:szCs w:val="18"/>
              </w:rPr>
              <w:t>孙芸</w:t>
            </w:r>
          </w:p>
        </w:tc>
        <w:tc>
          <w:tcPr>
            <w:tcW w:w="1379" w:type="dxa"/>
            <w:vAlign w:val="center"/>
          </w:tcPr>
          <w:p w14:paraId="3EFAEB91">
            <w:pPr>
              <w:rPr>
                <w:rFonts w:ascii="Times New Roman" w:hAnsi="Times New Roman" w:cs="Times New Roman"/>
                <w:sz w:val="18"/>
                <w:szCs w:val="18"/>
              </w:rPr>
            </w:pPr>
            <w:r>
              <w:rPr>
                <w:rFonts w:ascii="Times New Roman" w:hAnsi="Times New Roman" w:cs="Times New Roman"/>
                <w:sz w:val="18"/>
                <w:szCs w:val="18"/>
              </w:rPr>
              <w:t>张帆,李生茂,余志银,孙芸</w:t>
            </w:r>
          </w:p>
        </w:tc>
        <w:tc>
          <w:tcPr>
            <w:tcW w:w="522" w:type="dxa"/>
            <w:vAlign w:val="center"/>
          </w:tcPr>
          <w:p w14:paraId="5919D650">
            <w:pPr>
              <w:jc w:val="center"/>
              <w:rPr>
                <w:rFonts w:ascii="Times New Roman" w:hAnsi="Times New Roman" w:cs="Times New Roman"/>
                <w:sz w:val="18"/>
                <w:szCs w:val="18"/>
              </w:rPr>
            </w:pPr>
            <w:r>
              <w:rPr>
                <w:rFonts w:ascii="Times New Roman" w:hAnsi="Times New Roman" w:cs="Times New Roman"/>
                <w:sz w:val="18"/>
                <w:szCs w:val="18"/>
              </w:rPr>
              <w:t>7</w:t>
            </w:r>
          </w:p>
        </w:tc>
        <w:tc>
          <w:tcPr>
            <w:tcW w:w="438" w:type="dxa"/>
            <w:vAlign w:val="center"/>
          </w:tcPr>
          <w:p w14:paraId="20E78B62">
            <w:pPr>
              <w:jc w:val="center"/>
              <w:rPr>
                <w:rFonts w:ascii="Times New Roman" w:hAnsi="Times New Roman" w:cs="Times New Roman"/>
                <w:sz w:val="18"/>
                <w:szCs w:val="18"/>
              </w:rPr>
            </w:pPr>
            <w:r>
              <w:rPr>
                <w:rFonts w:ascii="Times New Roman" w:hAnsi="Times New Roman" w:cs="Times New Roman"/>
                <w:sz w:val="18"/>
                <w:szCs w:val="18"/>
              </w:rPr>
              <w:t>中国知网</w:t>
            </w:r>
          </w:p>
        </w:tc>
        <w:tc>
          <w:tcPr>
            <w:tcW w:w="599" w:type="dxa"/>
            <w:vAlign w:val="center"/>
          </w:tcPr>
          <w:p w14:paraId="5281BC3B">
            <w:pPr>
              <w:ind w:left="-149" w:leftChars="-71" w:right="-59" w:rightChars="-28"/>
              <w:jc w:val="center"/>
              <w:rPr>
                <w:rFonts w:ascii="Times New Roman" w:hAnsi="Times New Roman" w:cs="Times New Roman"/>
                <w:sz w:val="18"/>
                <w:szCs w:val="18"/>
              </w:rPr>
            </w:pPr>
            <w:r>
              <w:rPr>
                <w:rFonts w:ascii="Times New Roman" w:hAnsi="Times New Roman" w:cs="Times New Roman"/>
                <w:sz w:val="18"/>
                <w:szCs w:val="18"/>
              </w:rPr>
              <w:t>否</w:t>
            </w:r>
          </w:p>
        </w:tc>
      </w:tr>
    </w:tbl>
    <w:p w14:paraId="3DC1C87C"/>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141EF-BDF2-4EE0-8337-6CFFA5569B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7171243E-FAC9-4B4D-88C1-6A20816D6EE8}"/>
  </w:font>
  <w:font w:name="等线">
    <w:panose1 w:val="02010600030101010101"/>
    <w:charset w:val="86"/>
    <w:family w:val="auto"/>
    <w:pitch w:val="default"/>
    <w:sig w:usb0="A00002BF" w:usb1="38CF7CFA" w:usb2="00000016" w:usb3="00000000" w:csb0="0004000F" w:csb1="00000000"/>
    <w:embedRegular r:id="rId3" w:fontKey="{4A258708-07B9-44C6-B4C1-71F13C53683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209268"/>
      <w:docPartList>
        <w:docPartGallery w:val="Quick Parts"/>
      </w:docPartList>
    </w:sdtPr>
    <w:sdtContent>
      <w:p w14:paraId="48730F3F">
        <w:pPr>
          <w:pStyle w:val="8"/>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14:paraId="17D9942C">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2ZkNmIwZDE2ZmY0MDExZDJlOGM5MTA2MTY4ZjIifQ=="/>
  </w:docVars>
  <w:rsids>
    <w:rsidRoot w:val="00544DEB"/>
    <w:rsid w:val="00012AB2"/>
    <w:rsid w:val="000246FF"/>
    <w:rsid w:val="000428E4"/>
    <w:rsid w:val="00051F4F"/>
    <w:rsid w:val="000871B5"/>
    <w:rsid w:val="000928CA"/>
    <w:rsid w:val="00095D3D"/>
    <w:rsid w:val="00096751"/>
    <w:rsid w:val="000D6389"/>
    <w:rsid w:val="000F2D2F"/>
    <w:rsid w:val="00102596"/>
    <w:rsid w:val="00106FEE"/>
    <w:rsid w:val="00110D52"/>
    <w:rsid w:val="00111E2A"/>
    <w:rsid w:val="00121820"/>
    <w:rsid w:val="0012584A"/>
    <w:rsid w:val="00126018"/>
    <w:rsid w:val="00126C33"/>
    <w:rsid w:val="0014565E"/>
    <w:rsid w:val="00157C2B"/>
    <w:rsid w:val="001613F6"/>
    <w:rsid w:val="001B58E9"/>
    <w:rsid w:val="001C22FA"/>
    <w:rsid w:val="001D036F"/>
    <w:rsid w:val="001D3E07"/>
    <w:rsid w:val="00207760"/>
    <w:rsid w:val="0021718B"/>
    <w:rsid w:val="002324D2"/>
    <w:rsid w:val="0024102D"/>
    <w:rsid w:val="0025342C"/>
    <w:rsid w:val="002742EC"/>
    <w:rsid w:val="00295A6A"/>
    <w:rsid w:val="002971F1"/>
    <w:rsid w:val="002A1D64"/>
    <w:rsid w:val="002A7091"/>
    <w:rsid w:val="002B1928"/>
    <w:rsid w:val="002B25FE"/>
    <w:rsid w:val="002C00B4"/>
    <w:rsid w:val="002E7C83"/>
    <w:rsid w:val="002F0B16"/>
    <w:rsid w:val="003339D1"/>
    <w:rsid w:val="003445B1"/>
    <w:rsid w:val="00345573"/>
    <w:rsid w:val="003560E0"/>
    <w:rsid w:val="00356A17"/>
    <w:rsid w:val="00363562"/>
    <w:rsid w:val="00364535"/>
    <w:rsid w:val="00394293"/>
    <w:rsid w:val="003965EA"/>
    <w:rsid w:val="003A0D5F"/>
    <w:rsid w:val="003C1796"/>
    <w:rsid w:val="003C415A"/>
    <w:rsid w:val="003E42E3"/>
    <w:rsid w:val="004057AB"/>
    <w:rsid w:val="00413E4B"/>
    <w:rsid w:val="0042146E"/>
    <w:rsid w:val="00433D25"/>
    <w:rsid w:val="00436BAC"/>
    <w:rsid w:val="0047638E"/>
    <w:rsid w:val="00481DDA"/>
    <w:rsid w:val="00485B4F"/>
    <w:rsid w:val="004930DF"/>
    <w:rsid w:val="00494D1C"/>
    <w:rsid w:val="004A5E73"/>
    <w:rsid w:val="004C59EE"/>
    <w:rsid w:val="004C625E"/>
    <w:rsid w:val="004D60B5"/>
    <w:rsid w:val="004D62D0"/>
    <w:rsid w:val="004D6E7E"/>
    <w:rsid w:val="004D6FB1"/>
    <w:rsid w:val="004F086F"/>
    <w:rsid w:val="0050200F"/>
    <w:rsid w:val="005061FF"/>
    <w:rsid w:val="00513BDC"/>
    <w:rsid w:val="005277CE"/>
    <w:rsid w:val="00544DEB"/>
    <w:rsid w:val="00546132"/>
    <w:rsid w:val="00554B54"/>
    <w:rsid w:val="00556789"/>
    <w:rsid w:val="005620D7"/>
    <w:rsid w:val="00566633"/>
    <w:rsid w:val="00567406"/>
    <w:rsid w:val="00572BEE"/>
    <w:rsid w:val="00577A11"/>
    <w:rsid w:val="0058206C"/>
    <w:rsid w:val="00582D28"/>
    <w:rsid w:val="00583F2B"/>
    <w:rsid w:val="005A1931"/>
    <w:rsid w:val="005A3763"/>
    <w:rsid w:val="005A3765"/>
    <w:rsid w:val="005C48CF"/>
    <w:rsid w:val="005D276B"/>
    <w:rsid w:val="005D37EA"/>
    <w:rsid w:val="005E1BEE"/>
    <w:rsid w:val="005F7072"/>
    <w:rsid w:val="00601085"/>
    <w:rsid w:val="00625358"/>
    <w:rsid w:val="006472AB"/>
    <w:rsid w:val="0066461D"/>
    <w:rsid w:val="00665878"/>
    <w:rsid w:val="00690AD7"/>
    <w:rsid w:val="00692267"/>
    <w:rsid w:val="006A0E3E"/>
    <w:rsid w:val="006A7D22"/>
    <w:rsid w:val="006B3B48"/>
    <w:rsid w:val="006B4E00"/>
    <w:rsid w:val="006D0C60"/>
    <w:rsid w:val="006D3EB0"/>
    <w:rsid w:val="006D59D2"/>
    <w:rsid w:val="006E43D8"/>
    <w:rsid w:val="006F52F9"/>
    <w:rsid w:val="007054C9"/>
    <w:rsid w:val="00710087"/>
    <w:rsid w:val="00716BA5"/>
    <w:rsid w:val="00723829"/>
    <w:rsid w:val="00723B05"/>
    <w:rsid w:val="00736E89"/>
    <w:rsid w:val="0074600A"/>
    <w:rsid w:val="007571C1"/>
    <w:rsid w:val="00780347"/>
    <w:rsid w:val="0078190B"/>
    <w:rsid w:val="00790BCE"/>
    <w:rsid w:val="00795B0A"/>
    <w:rsid w:val="007B203D"/>
    <w:rsid w:val="007D4887"/>
    <w:rsid w:val="007F00E0"/>
    <w:rsid w:val="00802CB6"/>
    <w:rsid w:val="008310B6"/>
    <w:rsid w:val="00831BB6"/>
    <w:rsid w:val="00833EB4"/>
    <w:rsid w:val="0085552C"/>
    <w:rsid w:val="00883866"/>
    <w:rsid w:val="008A287F"/>
    <w:rsid w:val="008B1982"/>
    <w:rsid w:val="008B69B9"/>
    <w:rsid w:val="008C72B3"/>
    <w:rsid w:val="008D37D4"/>
    <w:rsid w:val="008E46F7"/>
    <w:rsid w:val="008F4B8D"/>
    <w:rsid w:val="008F4C47"/>
    <w:rsid w:val="0091189B"/>
    <w:rsid w:val="0096158C"/>
    <w:rsid w:val="0097174E"/>
    <w:rsid w:val="009A4C56"/>
    <w:rsid w:val="009B0585"/>
    <w:rsid w:val="009B25AF"/>
    <w:rsid w:val="009B36DF"/>
    <w:rsid w:val="009B4E46"/>
    <w:rsid w:val="009E706A"/>
    <w:rsid w:val="009F0072"/>
    <w:rsid w:val="009F3778"/>
    <w:rsid w:val="00A035D9"/>
    <w:rsid w:val="00A2676E"/>
    <w:rsid w:val="00A46821"/>
    <w:rsid w:val="00A46E75"/>
    <w:rsid w:val="00A94424"/>
    <w:rsid w:val="00AB2112"/>
    <w:rsid w:val="00AB6AEB"/>
    <w:rsid w:val="00AE2822"/>
    <w:rsid w:val="00AE64F7"/>
    <w:rsid w:val="00B05EB6"/>
    <w:rsid w:val="00B132B8"/>
    <w:rsid w:val="00B33025"/>
    <w:rsid w:val="00B35D0D"/>
    <w:rsid w:val="00B37FBF"/>
    <w:rsid w:val="00B453B3"/>
    <w:rsid w:val="00B456AC"/>
    <w:rsid w:val="00B4652E"/>
    <w:rsid w:val="00B54C96"/>
    <w:rsid w:val="00B62C2D"/>
    <w:rsid w:val="00B80069"/>
    <w:rsid w:val="00BD7209"/>
    <w:rsid w:val="00BE36F2"/>
    <w:rsid w:val="00BE6528"/>
    <w:rsid w:val="00BF1E28"/>
    <w:rsid w:val="00C04473"/>
    <w:rsid w:val="00C23C32"/>
    <w:rsid w:val="00C244FD"/>
    <w:rsid w:val="00C27B03"/>
    <w:rsid w:val="00C32F6F"/>
    <w:rsid w:val="00C34F18"/>
    <w:rsid w:val="00C415A1"/>
    <w:rsid w:val="00C952FA"/>
    <w:rsid w:val="00C96114"/>
    <w:rsid w:val="00CA411C"/>
    <w:rsid w:val="00CB1626"/>
    <w:rsid w:val="00CB3F05"/>
    <w:rsid w:val="00CE2853"/>
    <w:rsid w:val="00CE306F"/>
    <w:rsid w:val="00CF1FC0"/>
    <w:rsid w:val="00D13DA8"/>
    <w:rsid w:val="00D15036"/>
    <w:rsid w:val="00D23063"/>
    <w:rsid w:val="00D47818"/>
    <w:rsid w:val="00D5294D"/>
    <w:rsid w:val="00D6683C"/>
    <w:rsid w:val="00D73138"/>
    <w:rsid w:val="00D834C4"/>
    <w:rsid w:val="00DA455E"/>
    <w:rsid w:val="00DE1E59"/>
    <w:rsid w:val="00DE3555"/>
    <w:rsid w:val="00DF5483"/>
    <w:rsid w:val="00DF651A"/>
    <w:rsid w:val="00DF73FE"/>
    <w:rsid w:val="00E21CEA"/>
    <w:rsid w:val="00E24456"/>
    <w:rsid w:val="00E44AE7"/>
    <w:rsid w:val="00E51392"/>
    <w:rsid w:val="00E5300B"/>
    <w:rsid w:val="00E5353E"/>
    <w:rsid w:val="00E55BA3"/>
    <w:rsid w:val="00E77F4B"/>
    <w:rsid w:val="00E9409E"/>
    <w:rsid w:val="00E96AFB"/>
    <w:rsid w:val="00EC1986"/>
    <w:rsid w:val="00EC5735"/>
    <w:rsid w:val="00ED1141"/>
    <w:rsid w:val="00EE6F58"/>
    <w:rsid w:val="00EF2DD0"/>
    <w:rsid w:val="00EF3660"/>
    <w:rsid w:val="00EF7E06"/>
    <w:rsid w:val="00F04F9B"/>
    <w:rsid w:val="00F05D79"/>
    <w:rsid w:val="00F10A85"/>
    <w:rsid w:val="00F35AA7"/>
    <w:rsid w:val="00F36A92"/>
    <w:rsid w:val="00F51B2C"/>
    <w:rsid w:val="00F5768E"/>
    <w:rsid w:val="00F73AD0"/>
    <w:rsid w:val="00F7765D"/>
    <w:rsid w:val="00F909A2"/>
    <w:rsid w:val="00F9570D"/>
    <w:rsid w:val="00FC0B70"/>
    <w:rsid w:val="00FE4DCB"/>
    <w:rsid w:val="035937A7"/>
    <w:rsid w:val="074A3B33"/>
    <w:rsid w:val="0AB1211B"/>
    <w:rsid w:val="13022378"/>
    <w:rsid w:val="13C81FA8"/>
    <w:rsid w:val="18351C95"/>
    <w:rsid w:val="21ED13A9"/>
    <w:rsid w:val="22BB1507"/>
    <w:rsid w:val="28734684"/>
    <w:rsid w:val="28F40ABE"/>
    <w:rsid w:val="298E490D"/>
    <w:rsid w:val="29A224B5"/>
    <w:rsid w:val="2F8F075D"/>
    <w:rsid w:val="349F4C0E"/>
    <w:rsid w:val="3CB66F99"/>
    <w:rsid w:val="3CC0413B"/>
    <w:rsid w:val="3E100F36"/>
    <w:rsid w:val="3FDE0159"/>
    <w:rsid w:val="40877C73"/>
    <w:rsid w:val="47183234"/>
    <w:rsid w:val="47A17854"/>
    <w:rsid w:val="4B6760EF"/>
    <w:rsid w:val="506A7907"/>
    <w:rsid w:val="55486565"/>
    <w:rsid w:val="5B055CDE"/>
    <w:rsid w:val="5CD821BC"/>
    <w:rsid w:val="6101496A"/>
    <w:rsid w:val="612F6BE2"/>
    <w:rsid w:val="67A5382C"/>
    <w:rsid w:val="6B5E5F82"/>
    <w:rsid w:val="716A4F20"/>
    <w:rsid w:val="755366E7"/>
    <w:rsid w:val="7A842BD2"/>
    <w:rsid w:val="7D7FC30A"/>
    <w:rsid w:val="7F7B6EB5"/>
    <w:rsid w:val="B5DB6E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qFormat/>
    <w:uiPriority w:val="0"/>
    <w:pPr>
      <w:spacing w:after="120" w:line="460" w:lineRule="exact"/>
      <w:ind w:firstLine="1044" w:firstLineChars="200"/>
    </w:pPr>
    <w:rPr>
      <w:rFonts w:ascii="Times New Roman" w:hAnsi="Times New Roman" w:cs="Times New Roman"/>
      <w:kern w:val="0"/>
      <w:sz w:val="20"/>
      <w:szCs w:val="20"/>
    </w:rPr>
  </w:style>
  <w:style w:type="paragraph" w:styleId="6">
    <w:name w:val="Plain Text"/>
    <w:basedOn w:val="1"/>
    <w:link w:val="16"/>
    <w:qFormat/>
    <w:uiPriority w:val="99"/>
    <w:pPr>
      <w:spacing w:line="360" w:lineRule="auto"/>
      <w:ind w:firstLine="200" w:firstLineChars="200"/>
    </w:pPr>
    <w:rPr>
      <w:rFonts w:ascii="仿宋_GB2312" w:hAnsi="仿宋_GB2312" w:cs="Times New Roman"/>
      <w:sz w:val="24"/>
      <w:szCs w:val="20"/>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customStyle="1" w:styleId="14">
    <w:name w:val="_Style 8"/>
    <w:next w:val="1"/>
    <w:qFormat/>
    <w:uiPriority w:val="0"/>
    <w:pPr>
      <w:widowControl w:val="0"/>
      <w:spacing w:line="360" w:lineRule="auto"/>
      <w:ind w:firstLine="200" w:firstLineChars="200"/>
      <w:jc w:val="both"/>
    </w:pPr>
    <w:rPr>
      <w:rFonts w:ascii="仿宋_GB2312" w:hAnsi="仿宋_GB2312" w:eastAsia="宋体" w:cs="Times New Roman"/>
      <w:kern w:val="2"/>
      <w:sz w:val="24"/>
      <w:lang w:val="en-US" w:eastAsia="zh-CN" w:bidi="ar-SA"/>
    </w:rPr>
  </w:style>
  <w:style w:type="character" w:customStyle="1" w:styleId="15">
    <w:name w:val="批注框文本 Char"/>
    <w:basedOn w:val="11"/>
    <w:link w:val="7"/>
    <w:qFormat/>
    <w:uiPriority w:val="0"/>
    <w:rPr>
      <w:rFonts w:ascii="Calibri" w:hAnsi="Calibri" w:cs="Arial"/>
      <w:kern w:val="2"/>
      <w:sz w:val="18"/>
      <w:szCs w:val="18"/>
    </w:rPr>
  </w:style>
  <w:style w:type="character" w:customStyle="1" w:styleId="16">
    <w:name w:val="纯文本 Char"/>
    <w:link w:val="6"/>
    <w:qFormat/>
    <w:uiPriority w:val="99"/>
    <w:rPr>
      <w:rFonts w:ascii="仿宋_GB2312" w:hAnsi="仿宋_GB2312"/>
      <w:kern w:val="2"/>
      <w:sz w:val="24"/>
    </w:rPr>
  </w:style>
  <w:style w:type="character" w:customStyle="1" w:styleId="17">
    <w:name w:val="reftitle1"/>
    <w:qFormat/>
    <w:uiPriority w:val="99"/>
    <w:rPr>
      <w:b/>
      <w:bCs/>
      <w:color w:val="auto"/>
      <w:sz w:val="13"/>
      <w:szCs w:val="13"/>
      <w:u w:val="none"/>
    </w:rPr>
  </w:style>
  <w:style w:type="character" w:customStyle="1" w:styleId="18">
    <w:name w:val="正文文本 Char"/>
    <w:basedOn w:val="11"/>
    <w:link w:val="5"/>
    <w:qFormat/>
    <w:uiPriority w:val="0"/>
  </w:style>
  <w:style w:type="paragraph" w:styleId="19">
    <w:name w:val="List Paragraph"/>
    <w:basedOn w:val="1"/>
    <w:qFormat/>
    <w:uiPriority w:val="34"/>
    <w:pPr>
      <w:ind w:firstLine="420" w:firstLineChars="200"/>
    </w:pPr>
    <w:rPr>
      <w:rFonts w:ascii="Times New Roman" w:hAnsi="Times New Roman" w:cs="Times New Roman"/>
      <w:szCs w:val="20"/>
    </w:rPr>
  </w:style>
  <w:style w:type="character" w:customStyle="1" w:styleId="20">
    <w:name w:val="fontstyle01"/>
    <w:qFormat/>
    <w:uiPriority w:val="0"/>
    <w:rPr>
      <w:rFonts w:hint="eastAsia" w:ascii="宋体" w:hAnsi="宋体" w:eastAsia="宋体"/>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BA56-59D2-41C4-845A-26A3FA6FDF52}">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7</Pages>
  <Words>3332</Words>
  <Characters>4480</Characters>
  <Lines>37</Lines>
  <Paragraphs>10</Paragraphs>
  <TotalTime>6</TotalTime>
  <ScaleCrop>false</ScaleCrop>
  <LinksUpToDate>false</LinksUpToDate>
  <CharactersWithSpaces>4665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2024-11-25T01:47:00Z</dcterms:created>
  <dc:creator>WRGHO</dc:creator>
  <cp:lastModifiedBy>yzx124578</cp:lastModifiedBy>
  <cp:lastPrinted>2024-11-18T07:51:00Z</cp:lastPrinted>
  <dcterms:modified xsi:type="dcterms:W3CDTF">2024-11-25T07:57:15Z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0A138D6EA3094887A0A5744ACF11C207_13</vt:lpwstr>
  </property>
</Properties>
</file>