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附件3</w:t>
      </w:r>
    </w:p>
    <w:p>
      <w:pPr>
        <w:spacing w:line="360" w:lineRule="auto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川北医学院临床医学专业认证先进个人申报表</w:t>
      </w:r>
    </w:p>
    <w:tbl>
      <w:tblPr>
        <w:tblStyle w:val="4"/>
        <w:tblW w:w="9356" w:type="dxa"/>
        <w:tblInd w:w="-60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245"/>
        <w:gridCol w:w="1575"/>
        <w:gridCol w:w="420"/>
        <w:gridCol w:w="1659"/>
        <w:gridCol w:w="471"/>
        <w:gridCol w:w="735"/>
        <w:gridCol w:w="162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申请人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姓名</w:t>
            </w:r>
          </w:p>
        </w:tc>
        <w:tc>
          <w:tcPr>
            <w:tcW w:w="124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eastAsia="zh-CN"/>
              </w:rPr>
              <w:t>陈琼英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所在部门</w:t>
            </w:r>
          </w:p>
        </w:tc>
        <w:tc>
          <w:tcPr>
            <w:tcW w:w="207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eastAsia="zh-CN"/>
              </w:rPr>
              <w:t>科教科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职称</w:t>
            </w: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>/职务</w:t>
            </w:r>
          </w:p>
        </w:tc>
        <w:tc>
          <w:tcPr>
            <w:tcW w:w="162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  <w:lang w:eastAsia="zh-CN"/>
              </w:rPr>
              <w:t>主任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162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基本情况</w:t>
            </w:r>
          </w:p>
        </w:tc>
        <w:tc>
          <w:tcPr>
            <w:tcW w:w="773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560" w:firstLineChars="200"/>
              <w:jc w:val="left"/>
              <w:textAlignment w:val="auto"/>
              <w:rPr>
                <w:rFonts w:hint="default" w:ascii="仿宋" w:hAnsi="仿宋" w:eastAsia="仿宋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val="en-US" w:eastAsia="zh-CN"/>
              </w:rPr>
              <w:t>临床专业认证期间，我主要负责全院专业认证工作的安排，任务分解，落实及检查督导、整改工作，现场考察时，负责制定方案、接待、资料的准备及迎检，任务发布、信息收集及检查后的整改等工作。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5" w:hRule="atLeast"/>
        </w:trPr>
        <w:tc>
          <w:tcPr>
            <w:tcW w:w="162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主要先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进事迹</w:t>
            </w:r>
          </w:p>
        </w:tc>
        <w:tc>
          <w:tcPr>
            <w:tcW w:w="7734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我院作为川北医学院临床全程教学基地，是唯一一家县级三级乙等综合医院。一直以来，医院领导高度重视专业认证工作，我作为教学管理部门负责人，严格按照学校关于专业认证工作时间节点要求，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认真组织全员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职工学习《临床医学专业标准（试行）》和《临床医学专业认证指标体系和任务分解书》，一是将任务进行分解，下发至各部门、教研室及教研室组，多次组织各教研室、教研组相关人员开会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解读指标与政策；二是多次组织召开教学管理人员、任课教师及学生培训会，对专业认证工作相关知识点及要求进行专项培训；三是每月到各教研室进行专业认证工作的准备情况检查及指导工作；四是每季度到各教研组检查和宣传专业认证工作，对存在的问题及时反馈至各教研组，便于及时整改和提高；五是准备医院管理部门的教学迎检资料；六是现场考察时，制定接待方案，书写汇报材料，主要负责</w:t>
            </w:r>
            <w:r>
              <w:rPr>
                <w:rFonts w:hint="eastAsia" w:ascii="仿宋" w:hAnsi="仿宋" w:eastAsia="仿宋"/>
                <w:b w:val="0"/>
                <w:bCs/>
                <w:sz w:val="28"/>
                <w:szCs w:val="28"/>
                <w:lang w:val="en-US" w:eastAsia="zh-CN"/>
              </w:rPr>
              <w:t>接待、资料的准备及迎检，任务发布、信息收集及检查后的整改等系列工作。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162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审批意见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  <w:tc>
          <w:tcPr>
            <w:tcW w:w="213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部门负责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人签名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944E1"/>
    <w:rsid w:val="321944E1"/>
    <w:rsid w:val="4F563BFD"/>
    <w:rsid w:val="5368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2520"/>
    </w:pPr>
    <w:rPr>
      <w:rFonts w:ascii="Book Antiqua" w:hAnsi="Book Antiqua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2019-07-15T10:05:00Z</dcterms:created>
  <dc:creator>陈琼英</dc:creator>
  <cp:lastModifiedBy>陈琼英</cp:lastModifiedBy>
  <dcterms:modified xsi:type="dcterms:W3CDTF">2019-07-16T04:25:14Z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