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10" w:rsidRPr="00FC695C" w:rsidRDefault="00FC695C" w:rsidP="00FC695C">
      <w:pPr>
        <w:jc w:val="center"/>
        <w:rPr>
          <w:rStyle w:val="a3"/>
          <w:rFonts w:ascii="微软雅黑" w:eastAsia="微软雅黑" w:hAnsi="微软雅黑" w:hint="eastAsia"/>
          <w:spacing w:val="27"/>
          <w:sz w:val="44"/>
          <w:szCs w:val="26"/>
          <w:shd w:val="clear" w:color="auto" w:fill="FFF8EE"/>
        </w:rPr>
      </w:pPr>
      <w:r w:rsidRPr="00FC695C">
        <w:rPr>
          <w:rStyle w:val="a3"/>
          <w:rFonts w:ascii="微软雅黑" w:eastAsia="微软雅黑" w:hAnsi="微软雅黑" w:hint="eastAsia"/>
          <w:spacing w:val="27"/>
          <w:sz w:val="44"/>
          <w:szCs w:val="26"/>
          <w:shd w:val="clear" w:color="auto" w:fill="FFF8EE"/>
        </w:rPr>
        <w:t>主讲人介绍</w:t>
      </w:r>
      <w:bookmarkStart w:id="0" w:name="_GoBack"/>
      <w:bookmarkEnd w:id="0"/>
    </w:p>
    <w:p w:rsidR="00A15610" w:rsidRPr="00A15610" w:rsidRDefault="00A15610">
      <w:pPr>
        <w:rPr>
          <w:rStyle w:val="a3"/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</w:p>
    <w:p w:rsidR="00293C1A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  <w:r w:rsidRPr="00A15610">
        <w:rPr>
          <w:rStyle w:val="a3"/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艾四林</w:t>
      </w:r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，哲学博士，教授，博士生导师。清华大学马克思主义学院院长。中央马克思主义理论研究和建设工程首席专家，国务院学位委员会学科评议组成员，教育部高校思想政治理论课研究生思想政治理论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课分教学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指导委员会副主任委员。入选国家“万人计划”首批哲学社会科学领军人才、新世纪百千万人才工程国家级人选、教育部长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江学者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特聘教授，担任国家级教学团队带头人、央视百家讲坛特别节目《平语近人——习近平总书记用典》的主讲嘉宾。</w:t>
      </w:r>
    </w:p>
    <w:p w:rsidR="00A15610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</w:p>
    <w:p w:rsidR="00A15610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  <w:r w:rsidRPr="00A15610">
        <w:rPr>
          <w:rStyle w:val="a3"/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秦宣</w:t>
      </w:r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，法学博士，教授，博士生导师。中国人民大学习近平新时代中国特色社会主义思想研究院院长，《中国人民大学学报》主编。中央马克思主义理论研究和建设工程首席专家，教育部高校思想政治理论课“毛泽东思想和中国特色社会主义理论体系概论”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分教学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指导委员会副主任委员,中国科学社会主义学会副会长。享受国务院政府特殊津贴，入选国家“万人计划”哲学社会科学领军人才、中宣部“四个一批”理论人才、教育部跨世纪优秀人才培养计划。</w:t>
      </w:r>
    </w:p>
    <w:p w:rsidR="00A15610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</w:p>
    <w:p w:rsidR="00A15610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</w:p>
    <w:p w:rsidR="00A15610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  <w:r w:rsidRPr="00A15610">
        <w:rPr>
          <w:rStyle w:val="a3"/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王炳林</w:t>
      </w:r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，法学博士，教授，博士生导师。教育部高等学校社</w:t>
      </w:r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lastRenderedPageBreak/>
        <w:t>会科学发展研究中心主任、《中国高校社会科学》总编，北京师范大学马克思主义学院教授。中央马克思主义理论研究和建设工程首席专家，国务院学位委员会学科评议组成员，中华人民共和国国史学会副会长，教育部高等学校思想政治理论课教学指导委员会副主任委员、“中国近现代史纲要”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分教学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指导委员会主任委员。享受国务院政府特殊津贴，入选教育部新世纪优秀人才支持计划。</w:t>
      </w:r>
    </w:p>
    <w:p w:rsidR="00A15610" w:rsidRPr="00A15610" w:rsidRDefault="00A15610">
      <w:pPr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</w:pPr>
    </w:p>
    <w:p w:rsidR="00A15610" w:rsidRPr="00A15610" w:rsidRDefault="00A15610">
      <w:r w:rsidRPr="00A15610">
        <w:rPr>
          <w:rStyle w:val="a3"/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冯秀军</w:t>
      </w:r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，法学博士，教授，博士生导师。中央财经大学马克思主义学院院长。中央马克思主义理论研究和建设工程专家，教育部马克思主义理论类专业教学指导委员会委员，教育部高校思想政治理论课“思想道德修养与法律基础”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分教学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指导委员会委员，全国高校思想政治教育研究会学术委员会委员。入选教育部青年“长江学者”、新世纪优秀人才支持计划、全国高校优秀中青年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思政课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教师“择优资助计划”、全国高校</w:t>
      </w:r>
      <w:proofErr w:type="gramStart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思政课</w:t>
      </w:r>
      <w:proofErr w:type="gramEnd"/>
      <w:r w:rsidRPr="00A15610">
        <w:rPr>
          <w:rFonts w:ascii="微软雅黑" w:eastAsia="微软雅黑" w:hAnsi="微软雅黑" w:hint="eastAsia"/>
          <w:spacing w:val="27"/>
          <w:sz w:val="26"/>
          <w:szCs w:val="26"/>
          <w:shd w:val="clear" w:color="auto" w:fill="FFF8EE"/>
        </w:rPr>
        <w:t>教师年度“影响力人物”。</w:t>
      </w:r>
    </w:p>
    <w:sectPr w:rsidR="00A15610" w:rsidRPr="00A15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10"/>
    <w:rsid w:val="00293C1A"/>
    <w:rsid w:val="00A15610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iTianKong.com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2020-03-08T11:13:00Z</dcterms:created>
  <dcterms:modified xsi:type="dcterms:W3CDTF">2020-03-08T11:15:00Z</dcterms:modified>
</cp:coreProperties>
</file>