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551" w:rsidRDefault="00D56551">
      <w:pPr>
        <w:spacing w:line="600" w:lineRule="exact"/>
        <w:jc w:val="center"/>
        <w:outlineLvl w:val="0"/>
        <w:rPr>
          <w:rFonts w:ascii="方正小标宋简体" w:eastAsia="方正小标宋简体" w:hAnsi="宋体"/>
          <w:sz w:val="72"/>
          <w:szCs w:val="72"/>
        </w:rPr>
      </w:pPr>
      <w:bookmarkStart w:id="0" w:name="_Toc15306267"/>
    </w:p>
    <w:p w:rsidR="00D56551" w:rsidRDefault="00D56551">
      <w:pPr>
        <w:spacing w:line="600" w:lineRule="exact"/>
        <w:jc w:val="center"/>
        <w:outlineLvl w:val="0"/>
        <w:rPr>
          <w:rFonts w:ascii="方正小标宋简体" w:eastAsia="方正小标宋简体" w:hAnsi="宋体"/>
          <w:sz w:val="72"/>
          <w:szCs w:val="72"/>
        </w:rPr>
      </w:pPr>
    </w:p>
    <w:p w:rsidR="00D56551" w:rsidRDefault="00D56551">
      <w:pPr>
        <w:spacing w:line="600" w:lineRule="exact"/>
        <w:jc w:val="center"/>
        <w:outlineLvl w:val="0"/>
        <w:rPr>
          <w:rFonts w:ascii="方正小标宋简体" w:eastAsia="方正小标宋简体" w:hAnsi="宋体"/>
          <w:sz w:val="72"/>
          <w:szCs w:val="72"/>
        </w:rPr>
      </w:pPr>
    </w:p>
    <w:p w:rsidR="00D56551" w:rsidRDefault="00D56551">
      <w:pPr>
        <w:spacing w:line="600" w:lineRule="exact"/>
        <w:jc w:val="center"/>
        <w:outlineLvl w:val="0"/>
        <w:rPr>
          <w:rFonts w:ascii="方正小标宋简体" w:eastAsia="方正小标宋简体" w:hAnsi="宋体"/>
          <w:sz w:val="72"/>
          <w:szCs w:val="72"/>
        </w:rPr>
      </w:pPr>
    </w:p>
    <w:p w:rsidR="00D56551" w:rsidRDefault="00C732AD">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1" w:name="_Toc15396597"/>
      <w:bookmarkStart w:id="2" w:name="_Toc15377425"/>
      <w:bookmarkStart w:id="3" w:name="_Toc15377193"/>
      <w:bookmarkStart w:id="4" w:name="_Toc15378441"/>
      <w:bookmarkStart w:id="5" w:name="_Toc15396475"/>
      <w:r>
        <w:rPr>
          <w:rFonts w:ascii="方正小标宋简体" w:eastAsia="方正小标宋简体" w:hAnsi="方正小标宋简体" w:cs="方正小标宋简体" w:hint="eastAsia"/>
          <w:sz w:val="72"/>
          <w:szCs w:val="72"/>
        </w:rPr>
        <w:t>20</w:t>
      </w:r>
      <w:r>
        <w:rPr>
          <w:rFonts w:ascii="方正小标宋简体" w:eastAsia="方正小标宋简体" w:hAnsi="方正小标宋简体" w:cs="方正小标宋简体" w:hint="eastAsia"/>
          <w:sz w:val="72"/>
          <w:szCs w:val="72"/>
        </w:rPr>
        <w:t>22</w:t>
      </w:r>
      <w:r>
        <w:rPr>
          <w:rFonts w:ascii="方正小标宋简体" w:eastAsia="方正小标宋简体" w:hAnsi="方正小标宋简体" w:cs="方正小标宋简体" w:hint="eastAsia"/>
          <w:sz w:val="72"/>
          <w:szCs w:val="72"/>
        </w:rPr>
        <w:t>年度</w:t>
      </w:r>
      <w:bookmarkEnd w:id="1"/>
      <w:bookmarkEnd w:id="2"/>
      <w:bookmarkEnd w:id="3"/>
      <w:bookmarkEnd w:id="4"/>
      <w:bookmarkEnd w:id="5"/>
    </w:p>
    <w:p w:rsidR="00D56551" w:rsidRDefault="00C732AD">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6" w:name="_Toc15378442"/>
      <w:bookmarkStart w:id="7" w:name="_Toc15396476"/>
      <w:bookmarkStart w:id="8" w:name="_Toc15377194"/>
      <w:bookmarkStart w:id="9" w:name="_Toc15306268"/>
      <w:bookmarkStart w:id="10" w:name="_Toc15396598"/>
      <w:bookmarkStart w:id="11" w:name="_Toc15377426"/>
      <w:bookmarkEnd w:id="0"/>
      <w:r>
        <w:rPr>
          <w:rFonts w:ascii="方正小标宋简体" w:eastAsia="方正小标宋简体" w:hAnsi="方正小标宋简体" w:cs="方正小标宋简体" w:hint="eastAsia"/>
          <w:sz w:val="72"/>
          <w:szCs w:val="72"/>
        </w:rPr>
        <w:t>川北医学院</w:t>
      </w:r>
      <w:r>
        <w:rPr>
          <w:rFonts w:ascii="方正小标宋简体" w:eastAsia="方正小标宋简体" w:hAnsi="方正小标宋简体" w:cs="方正小标宋简体" w:hint="eastAsia"/>
          <w:sz w:val="72"/>
          <w:szCs w:val="72"/>
        </w:rPr>
        <w:t>决算</w:t>
      </w:r>
      <w:bookmarkEnd w:id="6"/>
      <w:bookmarkEnd w:id="7"/>
      <w:bookmarkEnd w:id="8"/>
      <w:bookmarkEnd w:id="9"/>
      <w:bookmarkEnd w:id="10"/>
      <w:bookmarkEnd w:id="11"/>
    </w:p>
    <w:p w:rsidR="00D56551" w:rsidRDefault="00C732AD">
      <w:pPr>
        <w:adjustRightInd w:val="0"/>
        <w:snapToGrid w:val="0"/>
        <w:spacing w:line="360" w:lineRule="auto"/>
        <w:jc w:val="center"/>
        <w:outlineLvl w:val="0"/>
        <w:rPr>
          <w:rFonts w:ascii="方正小标宋简体" w:eastAsia="方正小标宋简体" w:hAnsi="宋体"/>
          <w:sz w:val="52"/>
          <w:szCs w:val="52"/>
        </w:rPr>
      </w:pPr>
      <w:r>
        <w:rPr>
          <w:rFonts w:ascii="方正小标宋简体" w:eastAsia="方正小标宋简体" w:hAnsi="宋体" w:hint="eastAsia"/>
          <w:sz w:val="52"/>
          <w:szCs w:val="52"/>
        </w:rPr>
        <w:t>(</w:t>
      </w:r>
      <w:r>
        <w:rPr>
          <w:rFonts w:ascii="方正小标宋简体" w:eastAsia="方正小标宋简体" w:hAnsi="宋体" w:hint="eastAsia"/>
          <w:sz w:val="52"/>
          <w:szCs w:val="52"/>
        </w:rPr>
        <w:t>单位公开</w:t>
      </w:r>
      <w:r>
        <w:rPr>
          <w:rFonts w:ascii="方正小标宋简体" w:eastAsia="方正小标宋简体" w:hAnsi="宋体" w:hint="eastAsia"/>
          <w:sz w:val="52"/>
          <w:szCs w:val="52"/>
        </w:rPr>
        <w:t>范本</w:t>
      </w:r>
      <w:r>
        <w:rPr>
          <w:rFonts w:ascii="方正小标宋简体" w:eastAsia="方正小标宋简体" w:hAnsi="宋体" w:hint="eastAsia"/>
          <w:sz w:val="52"/>
          <w:szCs w:val="52"/>
        </w:rPr>
        <w:t>)</w:t>
      </w:r>
    </w:p>
    <w:p w:rsidR="00D56551" w:rsidRDefault="00C732AD">
      <w:pPr>
        <w:widowControl/>
        <w:jc w:val="center"/>
        <w:rPr>
          <w:rFonts w:ascii="黑体" w:eastAsia="黑体" w:hAnsi="黑体"/>
          <w:sz w:val="48"/>
          <w:szCs w:val="48"/>
        </w:rPr>
      </w:pPr>
      <w:r>
        <w:rPr>
          <w:rFonts w:ascii="方正小标宋简体" w:eastAsia="方正小标宋简体" w:hAnsi="宋体"/>
          <w:sz w:val="36"/>
          <w:szCs w:val="36"/>
        </w:rPr>
        <w:br w:type="page"/>
      </w:r>
      <w:r>
        <w:rPr>
          <w:rFonts w:ascii="黑体" w:eastAsia="黑体" w:hAnsi="黑体" w:hint="eastAsia"/>
          <w:sz w:val="48"/>
          <w:szCs w:val="48"/>
        </w:rPr>
        <w:lastRenderedPageBreak/>
        <w:t>目录</w:t>
      </w:r>
    </w:p>
    <w:p w:rsidR="00D56551" w:rsidRDefault="00D56551">
      <w:pPr>
        <w:widowControl/>
        <w:jc w:val="center"/>
        <w:rPr>
          <w:rFonts w:ascii="黑体" w:eastAsia="黑体" w:hAnsi="黑体" w:cstheme="minorBidi"/>
          <w:sz w:val="28"/>
          <w:szCs w:val="28"/>
        </w:rPr>
      </w:pPr>
    </w:p>
    <w:p w:rsidR="00D56551" w:rsidRDefault="00C732AD">
      <w:pPr>
        <w:pStyle w:val="10"/>
      </w:pPr>
      <w:r>
        <w:rPr>
          <w:rFonts w:hint="eastAsia"/>
        </w:rPr>
        <w:t>公开时间：</w:t>
      </w:r>
      <w:r>
        <w:rPr>
          <w:rFonts w:hint="eastAsia"/>
        </w:rPr>
        <w:t>20</w:t>
      </w:r>
      <w:r>
        <w:rPr>
          <w:rFonts w:hint="eastAsia"/>
        </w:rPr>
        <w:t>23</w:t>
      </w:r>
      <w:r>
        <w:rPr>
          <w:rFonts w:hint="eastAsia"/>
        </w:rPr>
        <w:t>年</w:t>
      </w:r>
      <w:r>
        <w:rPr>
          <w:rFonts w:hint="eastAsia"/>
        </w:rPr>
        <w:t>9</w:t>
      </w:r>
      <w:r>
        <w:rPr>
          <w:rFonts w:hint="eastAsia"/>
        </w:rPr>
        <w:t>月</w:t>
      </w:r>
      <w:r>
        <w:rPr>
          <w:rFonts w:hint="eastAsia"/>
        </w:rPr>
        <w:t>6</w:t>
      </w:r>
      <w:r>
        <w:rPr>
          <w:rFonts w:hint="eastAsia"/>
        </w:rPr>
        <w:t>日</w:t>
      </w:r>
    </w:p>
    <w:p w:rsidR="00D56551" w:rsidRDefault="00D56551"/>
    <w:p w:rsidR="00D56551" w:rsidRDefault="00C732AD">
      <w:pPr>
        <w:pStyle w:val="10"/>
        <w:adjustRightInd w:val="0"/>
        <w:snapToGrid w:val="0"/>
        <w:spacing w:before="0" w:line="440" w:lineRule="exact"/>
        <w:jc w:val="left"/>
        <w:rPr>
          <w:rFonts w:cstheme="minorBidi"/>
          <w:sz w:val="24"/>
          <w:szCs w:val="24"/>
        </w:rPr>
      </w:pPr>
      <w:r>
        <w:rPr>
          <w:rFonts w:hint="eastAsia"/>
          <w:sz w:val="24"/>
        </w:rPr>
        <w:t>第一部分</w:t>
      </w:r>
      <w:r>
        <w:rPr>
          <w:rFonts w:hint="eastAsia"/>
          <w:sz w:val="24"/>
        </w:rPr>
        <w:t>单位</w:t>
      </w:r>
      <w:r>
        <w:rPr>
          <w:rFonts w:hint="eastAsia"/>
          <w:sz w:val="24"/>
        </w:rPr>
        <w:t>概况</w:t>
      </w:r>
    </w:p>
    <w:p w:rsidR="00D56551" w:rsidRDefault="00C732AD">
      <w:pPr>
        <w:pStyle w:val="20"/>
        <w:adjustRightInd w:val="0"/>
        <w:snapToGrid w:val="0"/>
        <w:spacing w:line="440" w:lineRule="exact"/>
        <w:jc w:val="left"/>
        <w:rPr>
          <w:sz w:val="24"/>
        </w:rPr>
      </w:pPr>
      <w:r>
        <w:rPr>
          <w:rFonts w:hint="eastAsia"/>
          <w:sz w:val="24"/>
        </w:rPr>
        <w:t>一、职能</w:t>
      </w:r>
      <w:r>
        <w:rPr>
          <w:rFonts w:hint="eastAsia"/>
          <w:sz w:val="24"/>
        </w:rPr>
        <w:t>简介</w:t>
      </w:r>
    </w:p>
    <w:p w:rsidR="00D56551" w:rsidRDefault="00C732AD">
      <w:pPr>
        <w:pStyle w:val="20"/>
        <w:adjustRightInd w:val="0"/>
        <w:snapToGrid w:val="0"/>
        <w:spacing w:line="44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w:t>
      </w:r>
      <w:r>
        <w:rPr>
          <w:rFonts w:asciiTheme="minorEastAsia" w:eastAsiaTheme="minorEastAsia" w:hAnsiTheme="minorEastAsia" w:cstheme="minorEastAsia" w:hint="eastAsia"/>
          <w:sz w:val="24"/>
        </w:rPr>
        <w:t>机构设置</w:t>
      </w:r>
    </w:p>
    <w:p w:rsidR="00D56551" w:rsidRDefault="00C732AD">
      <w:pPr>
        <w:pStyle w:val="10"/>
        <w:adjustRightInd w:val="0"/>
        <w:snapToGrid w:val="0"/>
        <w:spacing w:before="0" w:line="440" w:lineRule="exact"/>
        <w:jc w:val="left"/>
        <w:rPr>
          <w:sz w:val="24"/>
          <w:szCs w:val="24"/>
        </w:rPr>
      </w:pPr>
      <w:r>
        <w:rPr>
          <w:rFonts w:hint="eastAsia"/>
          <w:sz w:val="24"/>
        </w:rPr>
        <w:t>第二部分</w:t>
      </w:r>
      <w:r>
        <w:rPr>
          <w:rFonts w:hint="eastAsia"/>
          <w:sz w:val="24"/>
        </w:rPr>
        <w:t xml:space="preserve"> 2022</w:t>
      </w:r>
      <w:r>
        <w:rPr>
          <w:rFonts w:hint="eastAsia"/>
          <w:sz w:val="24"/>
        </w:rPr>
        <w:t>年度</w:t>
      </w:r>
      <w:r>
        <w:rPr>
          <w:rFonts w:hint="eastAsia"/>
          <w:sz w:val="24"/>
        </w:rPr>
        <w:t>单位</w:t>
      </w:r>
      <w:r>
        <w:rPr>
          <w:rFonts w:hint="eastAsia"/>
          <w:sz w:val="24"/>
        </w:rPr>
        <w:t>决算情况说明</w:t>
      </w:r>
    </w:p>
    <w:p w:rsidR="00D56551" w:rsidRDefault="00C732AD">
      <w:pPr>
        <w:pStyle w:val="20"/>
        <w:adjustRightInd w:val="0"/>
        <w:snapToGrid w:val="0"/>
        <w:spacing w:line="440" w:lineRule="exact"/>
        <w:jc w:val="left"/>
        <w:rPr>
          <w:rFonts w:ascii="仿宋" w:eastAsia="仿宋" w:hAnsi="仿宋" w:cstheme="minorBidi"/>
          <w:sz w:val="24"/>
        </w:rPr>
      </w:pPr>
      <w:r>
        <w:rPr>
          <w:rFonts w:hint="eastAsia"/>
          <w:sz w:val="24"/>
        </w:rPr>
        <w:t>一、收入支出决算总体情况说明</w:t>
      </w:r>
    </w:p>
    <w:p w:rsidR="00D56551" w:rsidRDefault="00C732AD">
      <w:pPr>
        <w:pStyle w:val="20"/>
        <w:adjustRightInd w:val="0"/>
        <w:snapToGrid w:val="0"/>
        <w:spacing w:line="440" w:lineRule="exact"/>
        <w:jc w:val="left"/>
        <w:rPr>
          <w:rFonts w:ascii="仿宋" w:eastAsia="仿宋" w:hAnsi="仿宋" w:cstheme="minorBidi"/>
          <w:sz w:val="24"/>
        </w:rPr>
      </w:pPr>
      <w:r>
        <w:rPr>
          <w:rFonts w:hint="eastAsia"/>
          <w:sz w:val="24"/>
        </w:rPr>
        <w:t>二、收入决算情况说明</w:t>
      </w:r>
    </w:p>
    <w:p w:rsidR="00D56551" w:rsidRDefault="00C732AD">
      <w:pPr>
        <w:pStyle w:val="20"/>
        <w:adjustRightInd w:val="0"/>
        <w:snapToGrid w:val="0"/>
        <w:spacing w:line="440" w:lineRule="exact"/>
        <w:jc w:val="left"/>
        <w:rPr>
          <w:rFonts w:ascii="仿宋" w:eastAsia="仿宋" w:hAnsi="仿宋" w:cstheme="minorBidi"/>
          <w:sz w:val="24"/>
        </w:rPr>
      </w:pPr>
      <w:r>
        <w:rPr>
          <w:rFonts w:hint="eastAsia"/>
          <w:sz w:val="24"/>
        </w:rPr>
        <w:t>三、支出决算情况说明</w:t>
      </w:r>
    </w:p>
    <w:p w:rsidR="00D56551" w:rsidRDefault="00C732AD">
      <w:pPr>
        <w:pStyle w:val="20"/>
        <w:adjustRightInd w:val="0"/>
        <w:snapToGrid w:val="0"/>
        <w:spacing w:line="440" w:lineRule="exact"/>
        <w:jc w:val="left"/>
        <w:rPr>
          <w:rFonts w:ascii="仿宋" w:eastAsia="仿宋" w:hAnsi="仿宋" w:cstheme="minorBidi"/>
          <w:sz w:val="24"/>
        </w:rPr>
      </w:pPr>
      <w:r>
        <w:rPr>
          <w:rFonts w:hint="eastAsia"/>
          <w:sz w:val="24"/>
        </w:rPr>
        <w:t>四、财政拨款收入支出决算总体情况说明</w:t>
      </w:r>
    </w:p>
    <w:p w:rsidR="00D56551" w:rsidRDefault="00C732AD">
      <w:pPr>
        <w:pStyle w:val="20"/>
        <w:adjustRightInd w:val="0"/>
        <w:snapToGrid w:val="0"/>
        <w:spacing w:line="440" w:lineRule="exact"/>
        <w:jc w:val="left"/>
        <w:rPr>
          <w:rFonts w:ascii="仿宋" w:eastAsia="仿宋" w:hAnsi="仿宋" w:cstheme="minorBidi"/>
          <w:sz w:val="24"/>
        </w:rPr>
      </w:pPr>
      <w:r>
        <w:rPr>
          <w:rFonts w:hint="eastAsia"/>
          <w:sz w:val="24"/>
        </w:rPr>
        <w:t>五、一般公共预算财政拨款支出决算情况说明</w:t>
      </w:r>
    </w:p>
    <w:p w:rsidR="00D56551" w:rsidRDefault="00C732AD">
      <w:pPr>
        <w:pStyle w:val="20"/>
        <w:adjustRightInd w:val="0"/>
        <w:snapToGrid w:val="0"/>
        <w:spacing w:line="440" w:lineRule="exact"/>
        <w:jc w:val="left"/>
        <w:rPr>
          <w:rFonts w:ascii="仿宋" w:eastAsia="仿宋" w:hAnsi="仿宋" w:cstheme="minorBidi"/>
          <w:sz w:val="24"/>
        </w:rPr>
      </w:pPr>
      <w:r>
        <w:rPr>
          <w:rFonts w:hint="eastAsia"/>
          <w:sz w:val="24"/>
        </w:rPr>
        <w:t>六、一般公共预算财政拨款基本支出决算情况说明</w:t>
      </w:r>
    </w:p>
    <w:p w:rsidR="00D56551" w:rsidRDefault="00C732AD">
      <w:pPr>
        <w:pStyle w:val="20"/>
        <w:adjustRightInd w:val="0"/>
        <w:snapToGrid w:val="0"/>
        <w:spacing w:line="440" w:lineRule="exact"/>
        <w:jc w:val="left"/>
        <w:rPr>
          <w:rFonts w:ascii="仿宋" w:eastAsia="仿宋" w:hAnsi="仿宋" w:cstheme="minorBidi"/>
          <w:sz w:val="24"/>
        </w:rPr>
      </w:pPr>
      <w:r>
        <w:rPr>
          <w:rFonts w:hint="eastAsia"/>
          <w:sz w:val="24"/>
        </w:rPr>
        <w:t>七、财政拨款“三公”经费支出决算情况说明</w:t>
      </w:r>
    </w:p>
    <w:p w:rsidR="00D56551" w:rsidRDefault="00C732AD">
      <w:pPr>
        <w:pStyle w:val="20"/>
        <w:adjustRightInd w:val="0"/>
        <w:snapToGrid w:val="0"/>
        <w:spacing w:line="440" w:lineRule="exact"/>
        <w:jc w:val="left"/>
        <w:rPr>
          <w:rFonts w:ascii="仿宋" w:eastAsia="仿宋" w:hAnsi="仿宋" w:cstheme="minorBidi"/>
          <w:sz w:val="24"/>
        </w:rPr>
      </w:pPr>
      <w:r>
        <w:rPr>
          <w:rFonts w:hint="eastAsia"/>
          <w:sz w:val="24"/>
        </w:rPr>
        <w:t>八、政府性基金预算支出决算情况说明</w:t>
      </w:r>
    </w:p>
    <w:p w:rsidR="00D56551" w:rsidRDefault="00C732AD">
      <w:pPr>
        <w:pStyle w:val="20"/>
        <w:adjustRightInd w:val="0"/>
        <w:snapToGrid w:val="0"/>
        <w:spacing w:line="440" w:lineRule="exact"/>
        <w:jc w:val="left"/>
        <w:rPr>
          <w:sz w:val="24"/>
        </w:rPr>
      </w:pPr>
      <w:r>
        <w:rPr>
          <w:rFonts w:hint="eastAsia"/>
          <w:sz w:val="24"/>
        </w:rPr>
        <w:t>九、国有资本经营预算支出决算情况说明</w:t>
      </w:r>
    </w:p>
    <w:p w:rsidR="00D56551" w:rsidRDefault="00C732AD">
      <w:pPr>
        <w:pStyle w:val="20"/>
        <w:adjustRightInd w:val="0"/>
        <w:snapToGrid w:val="0"/>
        <w:spacing w:line="440" w:lineRule="exact"/>
        <w:jc w:val="left"/>
        <w:rPr>
          <w:sz w:val="24"/>
        </w:rPr>
      </w:pPr>
      <w:r>
        <w:rPr>
          <w:rFonts w:hint="eastAsia"/>
          <w:sz w:val="24"/>
        </w:rPr>
        <w:t>十、其他重要事项的情况说明</w:t>
      </w:r>
    </w:p>
    <w:p w:rsidR="00D56551" w:rsidRDefault="00C732AD">
      <w:pPr>
        <w:pStyle w:val="10"/>
        <w:adjustRightInd w:val="0"/>
        <w:snapToGrid w:val="0"/>
        <w:spacing w:before="0" w:line="440" w:lineRule="exact"/>
        <w:jc w:val="left"/>
        <w:rPr>
          <w:rFonts w:cstheme="minorBidi"/>
          <w:sz w:val="24"/>
          <w:szCs w:val="24"/>
        </w:rPr>
      </w:pPr>
      <w:r>
        <w:rPr>
          <w:rFonts w:hint="eastAsia"/>
          <w:sz w:val="24"/>
        </w:rPr>
        <w:t>第三部分名词解释</w:t>
      </w:r>
    </w:p>
    <w:p w:rsidR="00D56551" w:rsidRDefault="00C732AD">
      <w:pPr>
        <w:pStyle w:val="10"/>
        <w:adjustRightInd w:val="0"/>
        <w:snapToGrid w:val="0"/>
        <w:spacing w:before="0" w:line="440" w:lineRule="exact"/>
        <w:jc w:val="left"/>
        <w:rPr>
          <w:rFonts w:cstheme="minorBidi"/>
          <w:sz w:val="24"/>
          <w:szCs w:val="24"/>
        </w:rPr>
      </w:pPr>
      <w:r>
        <w:rPr>
          <w:rFonts w:hint="eastAsia"/>
          <w:sz w:val="24"/>
        </w:rPr>
        <w:t>第四部分附件</w:t>
      </w:r>
    </w:p>
    <w:p w:rsidR="00D56551" w:rsidRDefault="00C732AD">
      <w:pPr>
        <w:pStyle w:val="10"/>
        <w:adjustRightInd w:val="0"/>
        <w:snapToGrid w:val="0"/>
        <w:spacing w:before="0" w:line="440" w:lineRule="exact"/>
        <w:jc w:val="left"/>
        <w:rPr>
          <w:rFonts w:cstheme="minorBidi"/>
          <w:sz w:val="24"/>
          <w:szCs w:val="24"/>
        </w:rPr>
      </w:pPr>
      <w:r>
        <w:rPr>
          <w:rFonts w:hint="eastAsia"/>
          <w:sz w:val="24"/>
        </w:rPr>
        <w:t>第五部分附表</w:t>
      </w:r>
    </w:p>
    <w:p w:rsidR="00D56551" w:rsidRDefault="00C732AD">
      <w:pPr>
        <w:pStyle w:val="20"/>
        <w:adjustRightInd w:val="0"/>
        <w:snapToGrid w:val="0"/>
        <w:spacing w:line="440" w:lineRule="exact"/>
        <w:jc w:val="left"/>
        <w:rPr>
          <w:sz w:val="24"/>
        </w:rPr>
      </w:pPr>
      <w:r>
        <w:rPr>
          <w:rFonts w:hint="eastAsia"/>
          <w:sz w:val="24"/>
        </w:rPr>
        <w:t>一、收入支出决算总表</w:t>
      </w:r>
    </w:p>
    <w:p w:rsidR="00D56551" w:rsidRDefault="00C732AD">
      <w:pPr>
        <w:pStyle w:val="20"/>
        <w:adjustRightInd w:val="0"/>
        <w:snapToGrid w:val="0"/>
        <w:spacing w:line="440" w:lineRule="exact"/>
        <w:jc w:val="left"/>
        <w:rPr>
          <w:sz w:val="24"/>
        </w:rPr>
      </w:pPr>
      <w:r>
        <w:rPr>
          <w:rFonts w:hint="eastAsia"/>
          <w:sz w:val="24"/>
        </w:rPr>
        <w:t>二、收入决算表</w:t>
      </w:r>
    </w:p>
    <w:p w:rsidR="00D56551" w:rsidRDefault="00C732AD">
      <w:pPr>
        <w:pStyle w:val="20"/>
        <w:adjustRightInd w:val="0"/>
        <w:snapToGrid w:val="0"/>
        <w:spacing w:line="440" w:lineRule="exact"/>
        <w:jc w:val="left"/>
        <w:rPr>
          <w:sz w:val="24"/>
        </w:rPr>
      </w:pPr>
      <w:r>
        <w:rPr>
          <w:rFonts w:hint="eastAsia"/>
          <w:sz w:val="24"/>
        </w:rPr>
        <w:t>三、支出决算表</w:t>
      </w:r>
    </w:p>
    <w:p w:rsidR="00D56551" w:rsidRDefault="00C732AD">
      <w:pPr>
        <w:pStyle w:val="20"/>
        <w:adjustRightInd w:val="0"/>
        <w:snapToGrid w:val="0"/>
        <w:spacing w:line="440" w:lineRule="exact"/>
        <w:jc w:val="left"/>
        <w:rPr>
          <w:sz w:val="24"/>
        </w:rPr>
      </w:pPr>
      <w:r>
        <w:rPr>
          <w:rFonts w:hint="eastAsia"/>
          <w:sz w:val="24"/>
        </w:rPr>
        <w:t>四、财政拨款收入支出决算总表</w:t>
      </w:r>
    </w:p>
    <w:p w:rsidR="00D56551" w:rsidRDefault="00C732AD">
      <w:pPr>
        <w:pStyle w:val="20"/>
        <w:adjustRightInd w:val="0"/>
        <w:snapToGrid w:val="0"/>
        <w:spacing w:line="440" w:lineRule="exact"/>
        <w:jc w:val="left"/>
        <w:rPr>
          <w:sz w:val="24"/>
        </w:rPr>
      </w:pPr>
      <w:r>
        <w:rPr>
          <w:rFonts w:hint="eastAsia"/>
          <w:sz w:val="24"/>
        </w:rPr>
        <w:t>五、财政拨款支出决算明细表</w:t>
      </w:r>
    </w:p>
    <w:p w:rsidR="00D56551" w:rsidRDefault="00C732AD">
      <w:pPr>
        <w:pStyle w:val="20"/>
        <w:adjustRightInd w:val="0"/>
        <w:snapToGrid w:val="0"/>
        <w:spacing w:line="440" w:lineRule="exact"/>
        <w:jc w:val="left"/>
        <w:rPr>
          <w:sz w:val="24"/>
        </w:rPr>
      </w:pPr>
      <w:r>
        <w:rPr>
          <w:rFonts w:hint="eastAsia"/>
          <w:sz w:val="24"/>
        </w:rPr>
        <w:t>六、一般公共预算财政拨款支出决算表</w:t>
      </w:r>
    </w:p>
    <w:p w:rsidR="00D56551" w:rsidRDefault="00C732AD">
      <w:pPr>
        <w:pStyle w:val="20"/>
        <w:adjustRightInd w:val="0"/>
        <w:snapToGrid w:val="0"/>
        <w:spacing w:line="440" w:lineRule="exact"/>
        <w:jc w:val="left"/>
        <w:rPr>
          <w:sz w:val="24"/>
        </w:rPr>
      </w:pPr>
      <w:r>
        <w:rPr>
          <w:rFonts w:hint="eastAsia"/>
          <w:sz w:val="24"/>
        </w:rPr>
        <w:t>七、一般公共预算财政拨款支出决算明细表</w:t>
      </w:r>
    </w:p>
    <w:p w:rsidR="00D56551" w:rsidRDefault="00C732AD">
      <w:pPr>
        <w:pStyle w:val="20"/>
        <w:adjustRightInd w:val="0"/>
        <w:snapToGrid w:val="0"/>
        <w:spacing w:line="440" w:lineRule="exact"/>
        <w:jc w:val="left"/>
        <w:rPr>
          <w:sz w:val="24"/>
        </w:rPr>
      </w:pPr>
      <w:r>
        <w:rPr>
          <w:rFonts w:hint="eastAsia"/>
          <w:sz w:val="24"/>
        </w:rPr>
        <w:t>八、一般公共预算财政拨款基本支出决算表</w:t>
      </w:r>
    </w:p>
    <w:p w:rsidR="00D56551" w:rsidRDefault="00C732AD">
      <w:pPr>
        <w:pStyle w:val="20"/>
        <w:adjustRightInd w:val="0"/>
        <w:snapToGrid w:val="0"/>
        <w:spacing w:line="440" w:lineRule="exact"/>
        <w:jc w:val="left"/>
        <w:rPr>
          <w:sz w:val="24"/>
        </w:rPr>
      </w:pPr>
      <w:r>
        <w:rPr>
          <w:rFonts w:hint="eastAsia"/>
          <w:sz w:val="24"/>
        </w:rPr>
        <w:t>九、一般公共预算财政拨款项目支出决算表</w:t>
      </w:r>
    </w:p>
    <w:p w:rsidR="00D56551" w:rsidRDefault="00C732AD">
      <w:pPr>
        <w:pStyle w:val="20"/>
        <w:adjustRightInd w:val="0"/>
        <w:snapToGrid w:val="0"/>
        <w:spacing w:line="440" w:lineRule="exact"/>
        <w:jc w:val="left"/>
        <w:rPr>
          <w:sz w:val="24"/>
        </w:rPr>
      </w:pPr>
      <w:r>
        <w:rPr>
          <w:rFonts w:hint="eastAsia"/>
          <w:sz w:val="24"/>
        </w:rPr>
        <w:lastRenderedPageBreak/>
        <w:t>十、政府性基金预算财政拨款收入支出决算表</w:t>
      </w:r>
    </w:p>
    <w:p w:rsidR="00D56551" w:rsidRDefault="00C732AD">
      <w:pPr>
        <w:pStyle w:val="20"/>
        <w:adjustRightInd w:val="0"/>
        <w:snapToGrid w:val="0"/>
        <w:spacing w:line="440" w:lineRule="exact"/>
        <w:jc w:val="left"/>
        <w:rPr>
          <w:sz w:val="24"/>
        </w:rPr>
      </w:pPr>
      <w:r>
        <w:rPr>
          <w:rFonts w:hint="eastAsia"/>
          <w:sz w:val="24"/>
        </w:rPr>
        <w:t>十一、国有资本经营预算财政拨款收入支出决算表</w:t>
      </w:r>
    </w:p>
    <w:p w:rsidR="00D56551" w:rsidRDefault="00C732AD">
      <w:pPr>
        <w:pStyle w:val="20"/>
        <w:adjustRightInd w:val="0"/>
        <w:snapToGrid w:val="0"/>
        <w:spacing w:line="440" w:lineRule="exact"/>
        <w:jc w:val="left"/>
        <w:rPr>
          <w:sz w:val="24"/>
        </w:rPr>
      </w:pPr>
      <w:r>
        <w:rPr>
          <w:rFonts w:hint="eastAsia"/>
          <w:sz w:val="24"/>
        </w:rPr>
        <w:t>十二、</w:t>
      </w:r>
      <w:r>
        <w:rPr>
          <w:rFonts w:hint="eastAsia"/>
          <w:sz w:val="24"/>
        </w:rPr>
        <w:t>国有资本经营预算财政拨款支出决算表</w:t>
      </w:r>
    </w:p>
    <w:p w:rsidR="00D56551" w:rsidRDefault="00C732AD">
      <w:pPr>
        <w:pStyle w:val="20"/>
        <w:adjustRightInd w:val="0"/>
        <w:snapToGrid w:val="0"/>
        <w:spacing w:line="440" w:lineRule="exact"/>
        <w:jc w:val="left"/>
        <w:rPr>
          <w:sz w:val="24"/>
        </w:rPr>
      </w:pPr>
      <w:r>
        <w:rPr>
          <w:rFonts w:hint="eastAsia"/>
          <w:sz w:val="24"/>
        </w:rPr>
        <w:t>十三、财政拨款“三公”经费支出决算表</w:t>
      </w:r>
    </w:p>
    <w:p w:rsidR="00D56551" w:rsidRDefault="00C732AD">
      <w:pPr>
        <w:widowControl/>
        <w:adjustRightInd w:val="0"/>
        <w:snapToGrid w:val="0"/>
        <w:spacing w:line="440" w:lineRule="exact"/>
        <w:ind w:firstLineChars="550" w:firstLine="1320"/>
        <w:jc w:val="left"/>
        <w:rPr>
          <w:rFonts w:ascii="仿宋" w:eastAsia="仿宋" w:hAnsi="仿宋"/>
          <w:sz w:val="24"/>
        </w:rPr>
      </w:pPr>
      <w:r>
        <w:rPr>
          <w:rFonts w:ascii="仿宋" w:eastAsia="仿宋" w:hAnsi="仿宋"/>
          <w:sz w:val="24"/>
        </w:rPr>
        <w:t>(</w:t>
      </w:r>
      <w:r>
        <w:rPr>
          <w:rFonts w:ascii="仿宋" w:eastAsia="仿宋" w:hAnsi="仿宋"/>
          <w:sz w:val="24"/>
        </w:rPr>
        <w:t>注：</w:t>
      </w:r>
      <w:r>
        <w:rPr>
          <w:rFonts w:ascii="仿宋" w:eastAsia="仿宋" w:hAnsi="仿宋" w:hint="eastAsia"/>
          <w:sz w:val="24"/>
        </w:rPr>
        <w:t>请</w:t>
      </w:r>
      <w:r>
        <w:rPr>
          <w:rFonts w:ascii="仿宋" w:eastAsia="仿宋" w:hAnsi="仿宋" w:hint="eastAsia"/>
          <w:sz w:val="24"/>
        </w:rPr>
        <w:t>单位</w:t>
      </w:r>
      <w:r>
        <w:rPr>
          <w:rFonts w:ascii="仿宋" w:eastAsia="仿宋" w:hAnsi="仿宋" w:hint="eastAsia"/>
          <w:sz w:val="24"/>
        </w:rPr>
        <w:t>根据实际注明页码</w:t>
      </w:r>
      <w:r>
        <w:rPr>
          <w:rFonts w:ascii="仿宋" w:eastAsia="仿宋" w:hAnsi="仿宋"/>
          <w:sz w:val="24"/>
        </w:rPr>
        <w:t>)</w:t>
      </w:r>
    </w:p>
    <w:p w:rsidR="00D56551" w:rsidRDefault="00C732AD">
      <w:pPr>
        <w:widowControl/>
        <w:spacing w:line="440" w:lineRule="exact"/>
        <w:jc w:val="left"/>
        <w:rPr>
          <w:rFonts w:ascii="仿宋" w:eastAsia="仿宋" w:hAnsi="仿宋"/>
          <w:bCs/>
          <w:kern w:val="44"/>
          <w:sz w:val="24"/>
        </w:rPr>
      </w:pPr>
      <w:bookmarkStart w:id="12" w:name="_Toc15396599"/>
      <w:bookmarkStart w:id="13" w:name="_Toc15377196"/>
      <w:r>
        <w:rPr>
          <w:rFonts w:ascii="仿宋" w:eastAsia="仿宋" w:hAnsi="仿宋"/>
          <w:b/>
          <w:sz w:val="24"/>
        </w:rPr>
        <w:br w:type="page"/>
      </w:r>
    </w:p>
    <w:p w:rsidR="00D56551" w:rsidRDefault="00C732AD">
      <w:pPr>
        <w:pStyle w:val="1"/>
        <w:jc w:val="center"/>
        <w:rPr>
          <w:rStyle w:val="1Char"/>
          <w:rFonts w:ascii="黑体" w:eastAsia="黑体" w:hAnsi="黑体"/>
          <w:b/>
        </w:rPr>
      </w:pPr>
      <w:r>
        <w:rPr>
          <w:rFonts w:ascii="黑体" w:eastAsia="黑体" w:hAnsi="黑体" w:hint="eastAsia"/>
          <w:b w:val="0"/>
        </w:rPr>
        <w:lastRenderedPageBreak/>
        <w:t>第一部分</w:t>
      </w:r>
      <w:r>
        <w:rPr>
          <w:rFonts w:ascii="黑体" w:eastAsia="黑体" w:hAnsi="黑体" w:hint="eastAsia"/>
          <w:b w:val="0"/>
        </w:rPr>
        <w:t xml:space="preserve"> </w:t>
      </w:r>
      <w:r>
        <w:rPr>
          <w:rFonts w:ascii="黑体" w:eastAsia="黑体" w:hAnsi="黑体" w:hint="eastAsia"/>
          <w:b w:val="0"/>
        </w:rPr>
        <w:t>单位</w:t>
      </w:r>
      <w:r>
        <w:rPr>
          <w:rStyle w:val="1Char"/>
          <w:rFonts w:ascii="黑体" w:eastAsia="黑体" w:hAnsi="黑体" w:hint="eastAsia"/>
        </w:rPr>
        <w:t>概况</w:t>
      </w:r>
      <w:bookmarkEnd w:id="12"/>
      <w:bookmarkEnd w:id="13"/>
    </w:p>
    <w:p w:rsidR="00D56551" w:rsidRDefault="00D56551">
      <w:pPr>
        <w:widowControl/>
        <w:jc w:val="left"/>
        <w:rPr>
          <w:rFonts w:ascii="黑体" w:eastAsia="黑体"/>
          <w:sz w:val="32"/>
          <w:szCs w:val="32"/>
        </w:rPr>
      </w:pPr>
    </w:p>
    <w:p w:rsidR="00D56551" w:rsidRDefault="00C732AD">
      <w:pPr>
        <w:pStyle w:val="2"/>
        <w:numPr>
          <w:ilvl w:val="0"/>
          <w:numId w:val="1"/>
        </w:numPr>
        <w:rPr>
          <w:rStyle w:val="2Char"/>
          <w:rFonts w:ascii="黑体" w:eastAsia="黑体" w:hAnsi="黑体"/>
        </w:rPr>
      </w:pPr>
      <w:bookmarkStart w:id="14" w:name="_Toc15377197"/>
      <w:bookmarkStart w:id="15" w:name="_Toc15396600"/>
      <w:r>
        <w:rPr>
          <w:rStyle w:val="2Char"/>
          <w:rFonts w:ascii="黑体" w:eastAsia="黑体" w:hAnsi="黑体" w:hint="eastAsia"/>
        </w:rPr>
        <w:t>主要职责</w:t>
      </w:r>
    </w:p>
    <w:p w:rsidR="00D56551" w:rsidRDefault="00C732AD">
      <w:pPr>
        <w:spacing w:line="590" w:lineRule="exact"/>
        <w:ind w:firstLineChars="200" w:firstLine="640"/>
        <w:rPr>
          <w:rFonts w:ascii="仿宋_GB2312" w:eastAsia="仿宋_GB2312" w:hAnsi="仿宋"/>
          <w:sz w:val="32"/>
          <w:szCs w:val="32"/>
        </w:rPr>
      </w:pPr>
      <w:r>
        <w:rPr>
          <w:rFonts w:ascii="仿宋_GB2312" w:eastAsia="仿宋_GB2312" w:hAnsi="仿宋" w:hint="eastAsia"/>
          <w:sz w:val="32"/>
          <w:szCs w:val="32"/>
        </w:rPr>
        <w:t>学校始终发扬“艰苦奋斗、自强不息”的办学精神，秉承“敬业、博爱、</w:t>
      </w:r>
      <w:r>
        <w:rPr>
          <w:rFonts w:ascii="仿宋_GB2312" w:eastAsia="仿宋_GB2312" w:hAnsi="仿宋_GB2312" w:cs="仿宋_GB2312" w:hint="eastAsia"/>
          <w:bCs/>
          <w:sz w:val="32"/>
          <w:szCs w:val="32"/>
        </w:rPr>
        <w:t>求是</w:t>
      </w:r>
      <w:r>
        <w:rPr>
          <w:rFonts w:ascii="仿宋_GB2312" w:eastAsia="仿宋_GB2312" w:hAnsi="仿宋" w:hint="eastAsia"/>
          <w:sz w:val="32"/>
          <w:szCs w:val="32"/>
        </w:rPr>
        <w:t>、创新”的校训，坚持“以人为本，以质量为生命”的办学思想，承担医学应用型人才培养、科学研究、推进文化传承、创新服务社会的四大职能。现已成为一所以医、文、管、法、工、教多学科协调发展的省属高等医学院校。</w:t>
      </w:r>
    </w:p>
    <w:p w:rsidR="00D56551" w:rsidRDefault="00C732AD">
      <w:pPr>
        <w:pStyle w:val="2"/>
        <w:rPr>
          <w:rFonts w:ascii="黑体" w:eastAsia="黑体" w:hAnsi="黑体"/>
          <w:b w:val="0"/>
        </w:rPr>
      </w:pPr>
      <w:r>
        <w:rPr>
          <w:rFonts w:ascii="黑体" w:eastAsia="黑体" w:hAnsi="黑体" w:hint="eastAsia"/>
          <w:b w:val="0"/>
        </w:rPr>
        <w:t>二、</w:t>
      </w:r>
      <w:bookmarkEnd w:id="14"/>
      <w:bookmarkEnd w:id="15"/>
      <w:r>
        <w:rPr>
          <w:rFonts w:ascii="黑体" w:eastAsia="黑体" w:hAnsi="黑体" w:hint="eastAsia"/>
          <w:b w:val="0"/>
        </w:rPr>
        <w:t>机构设置</w:t>
      </w:r>
    </w:p>
    <w:p w:rsidR="00D56551" w:rsidRDefault="00C732AD">
      <w:pPr>
        <w:snapToGrid w:val="0"/>
        <w:spacing w:line="520" w:lineRule="exact"/>
        <w:ind w:firstLineChars="200" w:firstLine="640"/>
        <w:rPr>
          <w:rFonts w:ascii="仿宋_GB2312" w:eastAsia="仿宋_GB2312" w:hAnsi="仿宋"/>
          <w:sz w:val="32"/>
          <w:szCs w:val="32"/>
        </w:rPr>
      </w:pPr>
      <w:bookmarkStart w:id="16" w:name="_Toc15377204"/>
      <w:bookmarkStart w:id="17" w:name="_Toc15396602"/>
      <w:r>
        <w:rPr>
          <w:rFonts w:ascii="仿宋_GB2312" w:eastAsia="仿宋_GB2312" w:hAnsi="仿宋" w:hint="eastAsia"/>
          <w:sz w:val="32"/>
          <w:szCs w:val="32"/>
        </w:rPr>
        <w:t>川北医学院为四川省教育厅举办的公立高等医学院校，坐落在四川省历史文化名城、三国文化发祥地——南充市，现有顺庆和高坪两个校区，占地面积</w:t>
      </w:r>
      <w:r>
        <w:rPr>
          <w:rFonts w:ascii="仿宋_GB2312" w:eastAsia="仿宋_GB2312" w:hAnsi="仿宋" w:hint="eastAsia"/>
          <w:sz w:val="32"/>
          <w:szCs w:val="32"/>
        </w:rPr>
        <w:t>1000</w:t>
      </w:r>
      <w:r>
        <w:rPr>
          <w:rFonts w:ascii="仿宋_GB2312" w:eastAsia="仿宋_GB2312" w:hAnsi="仿宋" w:hint="eastAsia"/>
          <w:sz w:val="32"/>
          <w:szCs w:val="32"/>
        </w:rPr>
        <w:t>余亩。建有</w:t>
      </w:r>
      <w:r>
        <w:rPr>
          <w:rFonts w:ascii="仿宋_GB2312" w:eastAsia="仿宋_GB2312" w:hAnsi="仿宋" w:hint="eastAsia"/>
          <w:sz w:val="32"/>
          <w:szCs w:val="32"/>
        </w:rPr>
        <w:t>19</w:t>
      </w:r>
      <w:r>
        <w:rPr>
          <w:rFonts w:ascii="仿宋_GB2312" w:eastAsia="仿宋_GB2312" w:hAnsi="仿宋" w:hint="eastAsia"/>
          <w:sz w:val="32"/>
          <w:szCs w:val="32"/>
        </w:rPr>
        <w:t>个二级学院（系），开设</w:t>
      </w:r>
      <w:r>
        <w:rPr>
          <w:rFonts w:ascii="仿宋_GB2312" w:eastAsia="仿宋_GB2312" w:hAnsi="仿宋" w:hint="eastAsia"/>
          <w:sz w:val="32"/>
          <w:szCs w:val="32"/>
        </w:rPr>
        <w:t>26</w:t>
      </w:r>
      <w:r>
        <w:rPr>
          <w:rFonts w:ascii="仿宋_GB2312" w:eastAsia="仿宋_GB2312" w:hAnsi="仿宋" w:hint="eastAsia"/>
          <w:sz w:val="32"/>
          <w:szCs w:val="32"/>
        </w:rPr>
        <w:t>个本科专业。现有国家级一流本科专业建设点</w:t>
      </w:r>
      <w:r>
        <w:rPr>
          <w:rFonts w:ascii="仿宋_GB2312" w:eastAsia="仿宋_GB2312" w:hAnsi="仿宋" w:hint="eastAsia"/>
          <w:sz w:val="32"/>
          <w:szCs w:val="32"/>
        </w:rPr>
        <w:t>3</w:t>
      </w:r>
      <w:r>
        <w:rPr>
          <w:rFonts w:ascii="仿宋_GB2312" w:eastAsia="仿宋_GB2312" w:hAnsi="仿宋" w:hint="eastAsia"/>
          <w:sz w:val="32"/>
          <w:szCs w:val="32"/>
        </w:rPr>
        <w:t>个，省级一流本科专业建设点</w:t>
      </w:r>
      <w:r>
        <w:rPr>
          <w:rFonts w:ascii="仿宋_GB2312" w:eastAsia="仿宋_GB2312" w:hAnsi="仿宋" w:hint="eastAsia"/>
          <w:sz w:val="32"/>
          <w:szCs w:val="32"/>
        </w:rPr>
        <w:t>13</w:t>
      </w:r>
      <w:r>
        <w:rPr>
          <w:rFonts w:ascii="仿宋_GB2312" w:eastAsia="仿宋_GB2312" w:hAnsi="仿宋" w:hint="eastAsia"/>
          <w:sz w:val="32"/>
          <w:szCs w:val="32"/>
        </w:rPr>
        <w:t>个；国家级特色建设专业</w:t>
      </w:r>
      <w:r>
        <w:rPr>
          <w:rFonts w:ascii="仿宋_GB2312" w:eastAsia="仿宋_GB2312" w:hAnsi="仿宋" w:hint="eastAsia"/>
          <w:sz w:val="32"/>
          <w:szCs w:val="32"/>
        </w:rPr>
        <w:t>1</w:t>
      </w:r>
      <w:r>
        <w:rPr>
          <w:rFonts w:ascii="仿宋_GB2312" w:eastAsia="仿宋_GB2312" w:hAnsi="仿宋" w:hint="eastAsia"/>
          <w:sz w:val="32"/>
          <w:szCs w:val="32"/>
        </w:rPr>
        <w:t>个，省级特色专业</w:t>
      </w:r>
      <w:r>
        <w:rPr>
          <w:rFonts w:ascii="仿宋_GB2312" w:eastAsia="仿宋_GB2312" w:hAnsi="仿宋" w:hint="eastAsia"/>
          <w:sz w:val="32"/>
          <w:szCs w:val="32"/>
        </w:rPr>
        <w:t>4</w:t>
      </w:r>
      <w:r>
        <w:rPr>
          <w:rFonts w:ascii="仿宋_GB2312" w:eastAsia="仿宋_GB2312" w:hAnsi="仿宋" w:hint="eastAsia"/>
          <w:sz w:val="32"/>
          <w:szCs w:val="32"/>
        </w:rPr>
        <w:t>个，省级应用型示范专业</w:t>
      </w:r>
      <w:r>
        <w:rPr>
          <w:rFonts w:ascii="仿宋_GB2312" w:eastAsia="仿宋_GB2312" w:hAnsi="仿宋" w:hint="eastAsia"/>
          <w:sz w:val="32"/>
          <w:szCs w:val="32"/>
        </w:rPr>
        <w:t>4</w:t>
      </w:r>
      <w:r>
        <w:rPr>
          <w:rFonts w:ascii="仿宋_GB2312" w:eastAsia="仿宋_GB2312" w:hAnsi="仿宋" w:hint="eastAsia"/>
          <w:sz w:val="32"/>
          <w:szCs w:val="32"/>
        </w:rPr>
        <w:t>个；国家级一流本科课程</w:t>
      </w:r>
      <w:r>
        <w:rPr>
          <w:rFonts w:ascii="仿宋_GB2312" w:eastAsia="仿宋_GB2312" w:hAnsi="仿宋" w:hint="eastAsia"/>
          <w:sz w:val="32"/>
          <w:szCs w:val="32"/>
        </w:rPr>
        <w:t>3</w:t>
      </w:r>
      <w:r>
        <w:rPr>
          <w:rFonts w:ascii="仿宋_GB2312" w:eastAsia="仿宋_GB2312" w:hAnsi="仿宋" w:hint="eastAsia"/>
          <w:sz w:val="32"/>
          <w:szCs w:val="32"/>
        </w:rPr>
        <w:t>门，省级一流本科课程</w:t>
      </w:r>
      <w:r>
        <w:rPr>
          <w:rFonts w:ascii="仿宋_GB2312" w:eastAsia="仿宋_GB2312" w:hAnsi="仿宋" w:hint="eastAsia"/>
          <w:sz w:val="32"/>
          <w:szCs w:val="32"/>
        </w:rPr>
        <w:t>59</w:t>
      </w:r>
      <w:r>
        <w:rPr>
          <w:rFonts w:ascii="仿宋_GB2312" w:eastAsia="仿宋_GB2312" w:hAnsi="仿宋" w:hint="eastAsia"/>
          <w:sz w:val="32"/>
          <w:szCs w:val="32"/>
        </w:rPr>
        <w:t>门，省级应用型本科示范课程</w:t>
      </w:r>
      <w:r>
        <w:rPr>
          <w:rFonts w:ascii="仿宋_GB2312" w:eastAsia="仿宋_GB2312" w:hAnsi="仿宋" w:hint="eastAsia"/>
          <w:sz w:val="32"/>
          <w:szCs w:val="32"/>
        </w:rPr>
        <w:t>9</w:t>
      </w:r>
      <w:r>
        <w:rPr>
          <w:rFonts w:ascii="仿宋_GB2312" w:eastAsia="仿宋_GB2312" w:hAnsi="仿宋" w:hint="eastAsia"/>
          <w:sz w:val="32"/>
          <w:szCs w:val="32"/>
        </w:rPr>
        <w:t>门，省级课程思政示范课程</w:t>
      </w:r>
      <w:r>
        <w:rPr>
          <w:rFonts w:ascii="仿宋_GB2312" w:eastAsia="仿宋_GB2312" w:hAnsi="仿宋" w:hint="eastAsia"/>
          <w:sz w:val="32"/>
          <w:szCs w:val="32"/>
        </w:rPr>
        <w:t>16</w:t>
      </w:r>
      <w:r>
        <w:rPr>
          <w:rFonts w:ascii="仿宋_GB2312" w:eastAsia="仿宋_GB2312" w:hAnsi="仿宋" w:hint="eastAsia"/>
          <w:sz w:val="32"/>
          <w:szCs w:val="32"/>
        </w:rPr>
        <w:t>门；省级实验教学示范中心、省级虚拟仿真实验教学示范中心、省级虚拟仿真实验教学项目</w:t>
      </w:r>
      <w:r>
        <w:rPr>
          <w:rFonts w:ascii="仿宋_GB2312" w:eastAsia="仿宋_GB2312" w:hAnsi="仿宋" w:hint="eastAsia"/>
          <w:sz w:val="32"/>
          <w:szCs w:val="32"/>
        </w:rPr>
        <w:t>9</w:t>
      </w:r>
      <w:r>
        <w:rPr>
          <w:rFonts w:ascii="仿宋_GB2312" w:eastAsia="仿宋_GB2312" w:hAnsi="仿宋" w:hint="eastAsia"/>
          <w:sz w:val="32"/>
          <w:szCs w:val="32"/>
        </w:rPr>
        <w:t>个；</w:t>
      </w:r>
      <w:r>
        <w:rPr>
          <w:rFonts w:ascii="仿宋_GB2312" w:eastAsia="仿宋_GB2312" w:hAnsi="仿宋" w:hint="eastAsia"/>
          <w:sz w:val="32"/>
          <w:szCs w:val="32"/>
        </w:rPr>
        <w:t>3</w:t>
      </w:r>
      <w:r>
        <w:rPr>
          <w:rFonts w:ascii="仿宋_GB2312" w:eastAsia="仿宋_GB2312" w:hAnsi="仿宋" w:hint="eastAsia"/>
          <w:sz w:val="32"/>
          <w:szCs w:val="32"/>
        </w:rPr>
        <w:t>所</w:t>
      </w:r>
      <w:r>
        <w:rPr>
          <w:rFonts w:ascii="仿宋_GB2312" w:eastAsia="仿宋_GB2312" w:hAnsi="仿宋" w:hint="eastAsia"/>
          <w:sz w:val="32"/>
          <w:szCs w:val="32"/>
        </w:rPr>
        <w:t>直属附属医院、</w:t>
      </w:r>
      <w:r>
        <w:rPr>
          <w:rFonts w:ascii="仿宋_GB2312" w:eastAsia="仿宋_GB2312" w:hAnsi="仿宋" w:hint="eastAsia"/>
          <w:sz w:val="32"/>
          <w:szCs w:val="32"/>
        </w:rPr>
        <w:t>6</w:t>
      </w:r>
      <w:r>
        <w:rPr>
          <w:rFonts w:ascii="仿宋_GB2312" w:eastAsia="仿宋_GB2312" w:hAnsi="仿宋" w:hint="eastAsia"/>
          <w:sz w:val="32"/>
          <w:szCs w:val="32"/>
        </w:rPr>
        <w:t>所直管附属医院和</w:t>
      </w:r>
      <w:r>
        <w:rPr>
          <w:rFonts w:ascii="仿宋_GB2312" w:eastAsia="仿宋_GB2312" w:hAnsi="仿宋" w:hint="eastAsia"/>
          <w:sz w:val="32"/>
          <w:szCs w:val="32"/>
        </w:rPr>
        <w:t>12</w:t>
      </w:r>
      <w:r>
        <w:rPr>
          <w:rFonts w:ascii="仿宋_GB2312" w:eastAsia="仿宋_GB2312" w:hAnsi="仿宋" w:hint="eastAsia"/>
          <w:sz w:val="32"/>
          <w:szCs w:val="32"/>
        </w:rPr>
        <w:t>所非直属附属医院，</w:t>
      </w:r>
      <w:r>
        <w:rPr>
          <w:rFonts w:ascii="仿宋_GB2312" w:eastAsia="仿宋_GB2312" w:hAnsi="仿宋" w:hint="eastAsia"/>
          <w:sz w:val="32"/>
          <w:szCs w:val="32"/>
        </w:rPr>
        <w:t>60</w:t>
      </w:r>
      <w:r>
        <w:rPr>
          <w:rFonts w:ascii="仿宋_GB2312" w:eastAsia="仿宋_GB2312" w:hAnsi="仿宋" w:hint="eastAsia"/>
          <w:sz w:val="32"/>
          <w:szCs w:val="32"/>
        </w:rPr>
        <w:t>所教学实习医院。</w:t>
      </w:r>
    </w:p>
    <w:p w:rsidR="00D56551" w:rsidRDefault="00C732AD">
      <w:pPr>
        <w:pStyle w:val="1"/>
        <w:ind w:right="440"/>
        <w:jc w:val="center"/>
        <w:rPr>
          <w:rStyle w:val="1Char"/>
          <w:rFonts w:ascii="黑体" w:eastAsia="黑体" w:hAnsi="黑体"/>
          <w:bCs/>
        </w:rPr>
      </w:pPr>
      <w:r>
        <w:rPr>
          <w:rFonts w:ascii="黑体" w:eastAsia="黑体" w:hAnsi="黑体" w:hint="eastAsia"/>
          <w:b w:val="0"/>
        </w:rPr>
        <w:lastRenderedPageBreak/>
        <w:t>第二部分</w:t>
      </w:r>
      <w:r>
        <w:rPr>
          <w:rFonts w:ascii="黑体" w:eastAsia="黑体" w:hAnsi="黑体" w:hint="eastAsia"/>
          <w:b w:val="0"/>
        </w:rPr>
        <w:t xml:space="preserve"> </w:t>
      </w:r>
      <w:r>
        <w:rPr>
          <w:rFonts w:ascii="黑体" w:eastAsia="黑体" w:hAnsi="黑体" w:hint="eastAsia"/>
          <w:b w:val="0"/>
        </w:rPr>
        <w:t>2022</w:t>
      </w:r>
      <w:r>
        <w:rPr>
          <w:rFonts w:ascii="黑体" w:eastAsia="黑体" w:hAnsi="黑体" w:hint="eastAsia"/>
          <w:b w:val="0"/>
        </w:rPr>
        <w:t>年度</w:t>
      </w:r>
      <w:r>
        <w:rPr>
          <w:rStyle w:val="1Char"/>
          <w:rFonts w:ascii="黑体" w:eastAsia="黑体" w:hAnsi="黑体" w:hint="eastAsia"/>
          <w:bCs/>
        </w:rPr>
        <w:t>单位</w:t>
      </w:r>
      <w:r>
        <w:rPr>
          <w:rStyle w:val="1Char"/>
          <w:rFonts w:ascii="黑体" w:eastAsia="黑体" w:hAnsi="黑体" w:hint="eastAsia"/>
          <w:bCs/>
        </w:rPr>
        <w:t>决算情况说明</w:t>
      </w:r>
      <w:bookmarkEnd w:id="16"/>
      <w:bookmarkEnd w:id="17"/>
    </w:p>
    <w:p w:rsidR="00D56551" w:rsidRDefault="00D56551"/>
    <w:p w:rsidR="00D56551" w:rsidRDefault="00C732AD">
      <w:pPr>
        <w:pStyle w:val="aa"/>
        <w:numPr>
          <w:ilvl w:val="0"/>
          <w:numId w:val="2"/>
        </w:numPr>
        <w:spacing w:line="600" w:lineRule="exact"/>
        <w:ind w:firstLineChars="0"/>
        <w:outlineLvl w:val="1"/>
        <w:rPr>
          <w:rStyle w:val="2Char"/>
          <w:rFonts w:ascii="黑体" w:eastAsia="黑体" w:hAnsi="黑体"/>
          <w:b w:val="0"/>
        </w:rPr>
      </w:pPr>
      <w:bookmarkStart w:id="18" w:name="_Toc15396603"/>
      <w:bookmarkStart w:id="19" w:name="_Toc15377205"/>
      <w:r>
        <w:rPr>
          <w:rFonts w:ascii="黑体" w:eastAsia="黑体" w:hAnsi="黑体" w:hint="eastAsia"/>
          <w:sz w:val="32"/>
          <w:szCs w:val="32"/>
        </w:rPr>
        <w:t>收</w:t>
      </w:r>
      <w:r>
        <w:rPr>
          <w:rStyle w:val="2Char"/>
          <w:rFonts w:ascii="黑体" w:eastAsia="黑体" w:hAnsi="黑体" w:hint="eastAsia"/>
          <w:b w:val="0"/>
        </w:rPr>
        <w:t>入支出决算总体情况说明</w:t>
      </w:r>
      <w:bookmarkEnd w:id="18"/>
      <w:bookmarkEnd w:id="19"/>
    </w:p>
    <w:p w:rsidR="00D56551" w:rsidRDefault="00C732AD" w:rsidP="007A7B68">
      <w:pPr>
        <w:pStyle w:val="a0"/>
        <w:spacing w:before="93"/>
        <w:ind w:firstLineChars="200" w:firstLine="640"/>
        <w:rPr>
          <w:rFonts w:ascii="仿宋" w:hAnsi="仿宋"/>
          <w:sz w:val="32"/>
          <w:szCs w:val="32"/>
        </w:rPr>
      </w:pPr>
      <w:r>
        <w:rPr>
          <w:rFonts w:ascii="仿宋" w:eastAsia="仿宋" w:hAnsi="仿宋" w:hint="eastAsia"/>
          <w:sz w:val="32"/>
          <w:szCs w:val="32"/>
        </w:rPr>
        <w:t>20</w:t>
      </w:r>
      <w:r>
        <w:rPr>
          <w:rFonts w:ascii="仿宋" w:eastAsia="仿宋" w:hAnsi="仿宋" w:hint="eastAsia"/>
          <w:sz w:val="32"/>
          <w:szCs w:val="32"/>
        </w:rPr>
        <w:t>22</w:t>
      </w:r>
      <w:r>
        <w:rPr>
          <w:rFonts w:ascii="仿宋" w:eastAsia="仿宋" w:hAnsi="仿宋" w:hint="eastAsia"/>
          <w:sz w:val="32"/>
          <w:szCs w:val="32"/>
        </w:rPr>
        <w:t>年度收、支</w:t>
      </w:r>
      <w:r>
        <w:rPr>
          <w:rFonts w:ascii="仿宋" w:eastAsia="仿宋" w:hAnsi="仿宋" w:hint="eastAsia"/>
          <w:sz w:val="32"/>
          <w:szCs w:val="32"/>
        </w:rPr>
        <w:t>分别</w:t>
      </w:r>
      <w:r>
        <w:rPr>
          <w:rFonts w:ascii="仿宋" w:eastAsia="仿宋" w:hAnsi="仿宋" w:hint="eastAsia"/>
          <w:sz w:val="32"/>
          <w:szCs w:val="32"/>
        </w:rPr>
        <w:t>总计</w:t>
      </w:r>
      <w:r>
        <w:rPr>
          <w:rFonts w:hAnsi="仿宋" w:hint="eastAsia"/>
          <w:sz w:val="32"/>
          <w:szCs w:val="32"/>
        </w:rPr>
        <w:t>60587.95</w:t>
      </w:r>
      <w:r>
        <w:rPr>
          <w:rFonts w:ascii="仿宋" w:eastAsia="仿宋" w:hAnsi="仿宋" w:hint="eastAsia"/>
          <w:sz w:val="32"/>
          <w:szCs w:val="32"/>
        </w:rPr>
        <w:t>万元</w:t>
      </w:r>
      <w:r>
        <w:rPr>
          <w:rFonts w:ascii="仿宋" w:eastAsia="仿宋" w:hAnsi="仿宋" w:hint="eastAsia"/>
          <w:sz w:val="32"/>
          <w:szCs w:val="32"/>
        </w:rPr>
        <w:t>、</w:t>
      </w:r>
      <w:r>
        <w:rPr>
          <w:rFonts w:hAnsi="仿宋" w:hint="eastAsia"/>
          <w:sz w:val="32"/>
          <w:szCs w:val="32"/>
        </w:rPr>
        <w:t>63808.82</w:t>
      </w:r>
      <w:r>
        <w:rPr>
          <w:rFonts w:ascii="仿宋" w:eastAsia="仿宋" w:hAnsi="仿宋" w:hint="eastAsia"/>
          <w:sz w:val="32"/>
          <w:szCs w:val="32"/>
        </w:rPr>
        <w:t>万元</w:t>
      </w:r>
      <w:r>
        <w:rPr>
          <w:rFonts w:ascii="仿宋" w:eastAsia="仿宋" w:hAnsi="仿宋" w:hint="eastAsia"/>
          <w:sz w:val="32"/>
          <w:szCs w:val="32"/>
        </w:rPr>
        <w:t>。与</w:t>
      </w:r>
      <w:r>
        <w:rPr>
          <w:rFonts w:ascii="仿宋" w:eastAsia="仿宋" w:hAnsi="仿宋" w:hint="eastAsia"/>
          <w:sz w:val="32"/>
          <w:szCs w:val="32"/>
        </w:rPr>
        <w:t>20</w:t>
      </w:r>
      <w:r>
        <w:rPr>
          <w:rFonts w:ascii="仿宋" w:eastAsia="仿宋" w:hAnsi="仿宋" w:hint="eastAsia"/>
          <w:sz w:val="32"/>
          <w:szCs w:val="32"/>
        </w:rPr>
        <w:t>21</w:t>
      </w:r>
      <w:r>
        <w:rPr>
          <w:rFonts w:ascii="仿宋" w:eastAsia="仿宋" w:hAnsi="仿宋" w:hint="eastAsia"/>
          <w:sz w:val="32"/>
          <w:szCs w:val="32"/>
        </w:rPr>
        <w:t>年相比，收</w:t>
      </w:r>
      <w:r>
        <w:rPr>
          <w:rFonts w:ascii="仿宋" w:eastAsia="仿宋" w:hAnsi="仿宋" w:hint="eastAsia"/>
          <w:sz w:val="32"/>
          <w:szCs w:val="32"/>
        </w:rPr>
        <w:t>入</w:t>
      </w:r>
      <w:r>
        <w:rPr>
          <w:rFonts w:ascii="仿宋" w:eastAsia="仿宋" w:hAnsi="仿宋" w:hint="eastAsia"/>
          <w:sz w:val="32"/>
          <w:szCs w:val="32"/>
        </w:rPr>
        <w:t>增加</w:t>
      </w:r>
      <w:r>
        <w:rPr>
          <w:rFonts w:hAnsi="仿宋" w:hint="eastAsia"/>
          <w:sz w:val="32"/>
          <w:szCs w:val="32"/>
        </w:rPr>
        <w:t>2601.34</w:t>
      </w:r>
      <w:r>
        <w:rPr>
          <w:rFonts w:ascii="仿宋" w:eastAsia="仿宋" w:hAnsi="仿宋" w:hint="eastAsia"/>
          <w:sz w:val="32"/>
          <w:szCs w:val="32"/>
        </w:rPr>
        <w:t>万元，增长</w:t>
      </w:r>
      <w:r>
        <w:rPr>
          <w:rFonts w:ascii="仿宋" w:eastAsia="仿宋" w:hAnsi="仿宋" w:hint="eastAsia"/>
          <w:sz w:val="32"/>
          <w:szCs w:val="32"/>
        </w:rPr>
        <w:t>4.49</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sz w:val="32"/>
          <w:szCs w:val="32"/>
        </w:rPr>
        <w:t>主要变动原因是一般公共预算财政拨款收入</w:t>
      </w:r>
      <w:r>
        <w:rPr>
          <w:rFonts w:ascii="仿宋" w:eastAsia="仿宋" w:hAnsi="仿宋" w:hint="eastAsia"/>
          <w:sz w:val="32"/>
          <w:szCs w:val="32"/>
        </w:rPr>
        <w:t>和事业收入增加；支出</w:t>
      </w:r>
      <w:r>
        <w:rPr>
          <w:rFonts w:ascii="仿宋" w:eastAsia="仿宋" w:hAnsi="仿宋" w:hint="eastAsia"/>
          <w:sz w:val="32"/>
          <w:szCs w:val="32"/>
        </w:rPr>
        <w:t>增加</w:t>
      </w:r>
      <w:r>
        <w:rPr>
          <w:rFonts w:hAnsi="仿宋" w:hint="eastAsia"/>
          <w:sz w:val="32"/>
          <w:szCs w:val="32"/>
        </w:rPr>
        <w:t>837.31</w:t>
      </w:r>
      <w:r>
        <w:rPr>
          <w:rFonts w:ascii="仿宋" w:eastAsia="仿宋" w:hAnsi="仿宋" w:hint="eastAsia"/>
          <w:sz w:val="32"/>
          <w:szCs w:val="32"/>
        </w:rPr>
        <w:t>万元，增长</w:t>
      </w:r>
      <w:r>
        <w:rPr>
          <w:rFonts w:hAnsi="仿宋" w:hint="eastAsia"/>
          <w:sz w:val="32"/>
          <w:szCs w:val="32"/>
        </w:rPr>
        <w:t>1.33</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sz w:val="32"/>
          <w:szCs w:val="32"/>
        </w:rPr>
        <w:t>主要变动原因是</w:t>
      </w:r>
      <w:r>
        <w:rPr>
          <w:rFonts w:hAnsi="仿宋" w:hint="eastAsia"/>
          <w:sz w:val="32"/>
          <w:szCs w:val="32"/>
        </w:rPr>
        <w:t>人员经费支出较</w:t>
      </w:r>
      <w:r>
        <w:rPr>
          <w:rFonts w:hAnsi="仿宋" w:hint="eastAsia"/>
          <w:sz w:val="32"/>
          <w:szCs w:val="32"/>
        </w:rPr>
        <w:t>上年</w:t>
      </w:r>
      <w:r>
        <w:rPr>
          <w:rFonts w:hAnsi="仿宋" w:hint="eastAsia"/>
          <w:sz w:val="32"/>
          <w:szCs w:val="32"/>
        </w:rPr>
        <w:t>增加</w:t>
      </w:r>
      <w:r>
        <w:rPr>
          <w:rFonts w:hAnsi="仿宋" w:hint="eastAsia"/>
          <w:sz w:val="32"/>
          <w:szCs w:val="32"/>
        </w:rPr>
        <w:t>。</w:t>
      </w:r>
    </w:p>
    <w:p w:rsidR="00D56551" w:rsidRDefault="00C732AD" w:rsidP="007A7B68">
      <w:pPr>
        <w:pStyle w:val="a0"/>
        <w:spacing w:before="93"/>
      </w:pPr>
      <w:r>
        <w:rPr>
          <w:noProof/>
        </w:rPr>
        <w:drawing>
          <wp:inline distT="0" distB="0" distL="114300" distR="114300">
            <wp:extent cx="5361940" cy="3344545"/>
            <wp:effectExtent l="4445" t="4445" r="5715" b="228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56551" w:rsidRDefault="00C732AD">
      <w:pPr>
        <w:pStyle w:val="a4"/>
        <w:jc w:val="center"/>
        <w:rPr>
          <w:sz w:val="21"/>
          <w:szCs w:val="21"/>
        </w:rPr>
      </w:pPr>
      <w:r>
        <w:rPr>
          <w:rFonts w:hint="eastAsia"/>
          <w:sz w:val="21"/>
          <w:szCs w:val="21"/>
        </w:rPr>
        <w:t>图</w:t>
      </w:r>
      <w:r>
        <w:rPr>
          <w:rFonts w:hint="eastAsia"/>
          <w:sz w:val="21"/>
          <w:szCs w:val="21"/>
        </w:rPr>
        <w:t>1</w:t>
      </w:r>
    </w:p>
    <w:p w:rsidR="00D56551" w:rsidRDefault="00D56551">
      <w:pPr>
        <w:spacing w:line="600" w:lineRule="exact"/>
        <w:jc w:val="left"/>
        <w:rPr>
          <w:rFonts w:ascii="仿宋_GB2312" w:eastAsia="仿宋_GB2312"/>
          <w:sz w:val="32"/>
          <w:szCs w:val="32"/>
        </w:rPr>
      </w:pPr>
    </w:p>
    <w:p w:rsidR="00D56551" w:rsidRDefault="00C732AD">
      <w:pPr>
        <w:pStyle w:val="aa"/>
        <w:numPr>
          <w:ilvl w:val="0"/>
          <w:numId w:val="2"/>
        </w:numPr>
        <w:spacing w:line="600" w:lineRule="exact"/>
        <w:ind w:firstLineChars="0"/>
        <w:outlineLvl w:val="1"/>
        <w:rPr>
          <w:rStyle w:val="2Char"/>
          <w:rFonts w:ascii="黑体" w:eastAsia="黑体" w:hAnsi="黑体"/>
          <w:b w:val="0"/>
        </w:rPr>
      </w:pPr>
      <w:bookmarkStart w:id="20" w:name="_Toc15396604"/>
      <w:bookmarkStart w:id="21" w:name="_Toc15377206"/>
      <w:r>
        <w:rPr>
          <w:rFonts w:ascii="黑体" w:eastAsia="黑体" w:hAnsi="黑体" w:hint="eastAsia"/>
          <w:sz w:val="32"/>
          <w:szCs w:val="32"/>
        </w:rPr>
        <w:t>收</w:t>
      </w:r>
      <w:r>
        <w:rPr>
          <w:rStyle w:val="2Char"/>
          <w:rFonts w:ascii="黑体" w:eastAsia="黑体" w:hAnsi="黑体" w:hint="eastAsia"/>
          <w:b w:val="0"/>
        </w:rPr>
        <w:t>入决算情况说明</w:t>
      </w:r>
      <w:bookmarkEnd w:id="20"/>
      <w:bookmarkEnd w:id="21"/>
    </w:p>
    <w:p w:rsidR="00D56551" w:rsidRDefault="00C732AD">
      <w:pPr>
        <w:spacing w:line="600" w:lineRule="exact"/>
        <w:ind w:firstLineChars="200" w:firstLine="640"/>
        <w:rPr>
          <w:rFonts w:ascii="仿宋" w:eastAsia="仿宋" w:hAnsi="仿宋"/>
          <w:sz w:val="32"/>
          <w:szCs w:val="32"/>
        </w:rPr>
      </w:pPr>
      <w:r>
        <w:rPr>
          <w:rFonts w:ascii="仿宋" w:eastAsia="仿宋" w:hAnsi="仿宋" w:hint="eastAsia"/>
          <w:sz w:val="32"/>
          <w:szCs w:val="32"/>
        </w:rPr>
        <w:t>20</w:t>
      </w:r>
      <w:r>
        <w:rPr>
          <w:rFonts w:ascii="仿宋" w:eastAsia="仿宋" w:hAnsi="仿宋" w:hint="eastAsia"/>
          <w:sz w:val="32"/>
          <w:szCs w:val="32"/>
        </w:rPr>
        <w:t>22</w:t>
      </w:r>
      <w:r>
        <w:rPr>
          <w:rFonts w:ascii="仿宋" w:eastAsia="仿宋" w:hAnsi="仿宋" w:hint="eastAsia"/>
          <w:sz w:val="32"/>
          <w:szCs w:val="32"/>
        </w:rPr>
        <w:t>年本年收入合计</w:t>
      </w:r>
      <w:r>
        <w:rPr>
          <w:rFonts w:ascii="仿宋_GB2312" w:eastAsia="仿宋_GB2312" w:hAnsi="仿宋" w:hint="eastAsia"/>
          <w:sz w:val="32"/>
          <w:szCs w:val="32"/>
        </w:rPr>
        <w:t>60587.95</w:t>
      </w:r>
      <w:r>
        <w:rPr>
          <w:rFonts w:ascii="仿宋" w:eastAsia="仿宋" w:hAnsi="仿宋" w:hint="eastAsia"/>
          <w:sz w:val="32"/>
          <w:szCs w:val="32"/>
        </w:rPr>
        <w:t>万元，其中：</w:t>
      </w:r>
      <w:r>
        <w:rPr>
          <w:rFonts w:ascii="仿宋" w:eastAsia="仿宋" w:hAnsi="仿宋" w:hint="eastAsia"/>
          <w:sz w:val="32"/>
          <w:szCs w:val="32"/>
        </w:rPr>
        <w:t>一般公共预算财政拨款收入</w:t>
      </w:r>
      <w:r>
        <w:rPr>
          <w:rFonts w:ascii="仿宋_GB2312" w:eastAsia="仿宋_GB2312" w:hAnsi="仿宋" w:hint="eastAsia"/>
          <w:sz w:val="32"/>
          <w:szCs w:val="32"/>
        </w:rPr>
        <w:t>42939.93</w:t>
      </w:r>
      <w:r>
        <w:rPr>
          <w:rFonts w:ascii="仿宋" w:eastAsia="仿宋" w:hAnsi="仿宋" w:hint="eastAsia"/>
          <w:sz w:val="32"/>
          <w:szCs w:val="32"/>
        </w:rPr>
        <w:t>万元，占</w:t>
      </w:r>
      <w:r>
        <w:rPr>
          <w:rFonts w:ascii="仿宋" w:eastAsia="仿宋" w:hAnsi="仿宋" w:hint="eastAsia"/>
          <w:sz w:val="32"/>
          <w:szCs w:val="32"/>
        </w:rPr>
        <w:t>70.87%</w:t>
      </w:r>
      <w:r>
        <w:rPr>
          <w:rFonts w:ascii="仿宋" w:eastAsia="仿宋" w:hAnsi="仿宋" w:hint="eastAsia"/>
          <w:sz w:val="32"/>
          <w:szCs w:val="32"/>
        </w:rPr>
        <w:t>；事业收入为</w:t>
      </w:r>
      <w:r>
        <w:rPr>
          <w:rFonts w:ascii="仿宋_GB2312" w:eastAsia="仿宋_GB2312" w:hAnsi="仿宋" w:hint="eastAsia"/>
          <w:sz w:val="32"/>
          <w:szCs w:val="32"/>
        </w:rPr>
        <w:lastRenderedPageBreak/>
        <w:t>15449.98</w:t>
      </w:r>
      <w:r>
        <w:rPr>
          <w:rFonts w:ascii="仿宋" w:eastAsia="仿宋" w:hAnsi="仿宋" w:hint="eastAsia"/>
          <w:sz w:val="32"/>
          <w:szCs w:val="32"/>
        </w:rPr>
        <w:t>万元，占</w:t>
      </w:r>
      <w:r>
        <w:rPr>
          <w:rFonts w:ascii="仿宋" w:eastAsia="仿宋" w:hAnsi="仿宋" w:hint="eastAsia"/>
          <w:sz w:val="32"/>
          <w:szCs w:val="32"/>
        </w:rPr>
        <w:t>25.50%</w:t>
      </w:r>
      <w:r>
        <w:rPr>
          <w:rFonts w:ascii="仿宋" w:eastAsia="仿宋" w:hAnsi="仿宋" w:hint="eastAsia"/>
          <w:sz w:val="32"/>
          <w:szCs w:val="32"/>
        </w:rPr>
        <w:t>；其他收入</w:t>
      </w:r>
      <w:r>
        <w:rPr>
          <w:rFonts w:ascii="仿宋_GB2312" w:eastAsia="仿宋_GB2312" w:hAnsi="仿宋" w:hint="eastAsia"/>
          <w:sz w:val="32"/>
          <w:szCs w:val="32"/>
        </w:rPr>
        <w:t>2198.04</w:t>
      </w:r>
      <w:r>
        <w:rPr>
          <w:rFonts w:ascii="仿宋" w:eastAsia="仿宋" w:hAnsi="仿宋" w:hint="eastAsia"/>
          <w:sz w:val="32"/>
          <w:szCs w:val="32"/>
        </w:rPr>
        <w:t>万元，占</w:t>
      </w:r>
      <w:r>
        <w:rPr>
          <w:rFonts w:ascii="仿宋" w:eastAsia="仿宋" w:hAnsi="仿宋" w:hint="eastAsia"/>
          <w:sz w:val="32"/>
          <w:szCs w:val="32"/>
        </w:rPr>
        <w:t>3.63%</w:t>
      </w:r>
      <w:r>
        <w:rPr>
          <w:rFonts w:ascii="仿宋" w:eastAsia="仿宋" w:hAnsi="仿宋" w:hint="eastAsia"/>
          <w:sz w:val="32"/>
          <w:szCs w:val="32"/>
        </w:rPr>
        <w:t>。</w:t>
      </w:r>
    </w:p>
    <w:p w:rsidR="00D56551" w:rsidRDefault="00C732AD">
      <w:pPr>
        <w:pStyle w:val="a4"/>
        <w:jc w:val="center"/>
        <w:rPr>
          <w:sz w:val="21"/>
          <w:szCs w:val="21"/>
        </w:rPr>
      </w:pPr>
      <w:r>
        <w:rPr>
          <w:noProof/>
        </w:rPr>
        <w:drawing>
          <wp:inline distT="0" distB="0" distL="114300" distR="114300">
            <wp:extent cx="5269230" cy="3607435"/>
            <wp:effectExtent l="4445" t="4445" r="22225" b="762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hint="eastAsia"/>
          <w:sz w:val="21"/>
          <w:szCs w:val="21"/>
        </w:rPr>
        <w:t>图</w:t>
      </w:r>
      <w:r>
        <w:rPr>
          <w:rFonts w:hint="eastAsia"/>
          <w:sz w:val="21"/>
          <w:szCs w:val="21"/>
        </w:rPr>
        <w:t>2</w:t>
      </w:r>
    </w:p>
    <w:p w:rsidR="00D56551" w:rsidRDefault="00D56551">
      <w:pPr>
        <w:spacing w:line="600" w:lineRule="exact"/>
        <w:rPr>
          <w:rFonts w:ascii="仿宋_GB2312" w:eastAsia="仿宋_GB2312"/>
          <w:sz w:val="32"/>
          <w:szCs w:val="32"/>
        </w:rPr>
      </w:pPr>
    </w:p>
    <w:p w:rsidR="00D56551" w:rsidRDefault="00C732AD">
      <w:pPr>
        <w:pStyle w:val="aa"/>
        <w:numPr>
          <w:ilvl w:val="0"/>
          <w:numId w:val="2"/>
        </w:numPr>
        <w:spacing w:line="600" w:lineRule="exact"/>
        <w:ind w:firstLineChars="0"/>
        <w:outlineLvl w:val="1"/>
        <w:rPr>
          <w:rStyle w:val="2Char"/>
          <w:rFonts w:ascii="黑体" w:eastAsia="黑体" w:hAnsi="黑体"/>
          <w:b w:val="0"/>
        </w:rPr>
      </w:pPr>
      <w:bookmarkStart w:id="22" w:name="_Toc15377207"/>
      <w:bookmarkStart w:id="23" w:name="_Toc15396605"/>
      <w:r>
        <w:rPr>
          <w:rFonts w:ascii="黑体" w:eastAsia="黑体" w:hAnsi="黑体" w:hint="eastAsia"/>
          <w:sz w:val="32"/>
          <w:szCs w:val="32"/>
        </w:rPr>
        <w:t>支</w:t>
      </w:r>
      <w:r>
        <w:rPr>
          <w:rStyle w:val="2Char"/>
          <w:rFonts w:ascii="黑体" w:eastAsia="黑体" w:hAnsi="黑体" w:hint="eastAsia"/>
          <w:b w:val="0"/>
        </w:rPr>
        <w:t>出决算情况说明</w:t>
      </w:r>
      <w:bookmarkEnd w:id="22"/>
      <w:bookmarkEnd w:id="23"/>
    </w:p>
    <w:p w:rsidR="00D56551" w:rsidRDefault="00C732AD">
      <w:pPr>
        <w:spacing w:line="600" w:lineRule="exact"/>
        <w:ind w:firstLineChars="200" w:firstLine="640"/>
      </w:pPr>
      <w:r>
        <w:rPr>
          <w:rFonts w:ascii="仿宋" w:eastAsia="仿宋" w:hAnsi="仿宋" w:hint="eastAsia"/>
          <w:sz w:val="32"/>
          <w:szCs w:val="32"/>
        </w:rPr>
        <w:t>20</w:t>
      </w:r>
      <w:r>
        <w:rPr>
          <w:rFonts w:ascii="仿宋" w:eastAsia="仿宋" w:hAnsi="仿宋" w:hint="eastAsia"/>
          <w:sz w:val="32"/>
          <w:szCs w:val="32"/>
        </w:rPr>
        <w:t>22</w:t>
      </w:r>
      <w:r>
        <w:rPr>
          <w:rFonts w:ascii="仿宋" w:eastAsia="仿宋" w:hAnsi="仿宋" w:hint="eastAsia"/>
          <w:sz w:val="32"/>
          <w:szCs w:val="32"/>
        </w:rPr>
        <w:t>年本年支出合计</w:t>
      </w:r>
      <w:r>
        <w:rPr>
          <w:rFonts w:ascii="仿宋" w:eastAsia="仿宋" w:hAnsi="仿宋" w:hint="eastAsia"/>
          <w:sz w:val="32"/>
          <w:szCs w:val="32"/>
        </w:rPr>
        <w:t>63808.82</w:t>
      </w:r>
      <w:r>
        <w:rPr>
          <w:rFonts w:ascii="仿宋" w:eastAsia="仿宋" w:hAnsi="仿宋" w:hint="eastAsia"/>
          <w:sz w:val="32"/>
          <w:szCs w:val="32"/>
        </w:rPr>
        <w:t>万元，其中：</w:t>
      </w:r>
      <w:r>
        <w:rPr>
          <w:rFonts w:ascii="仿宋" w:eastAsia="仿宋" w:hAnsi="仿宋" w:hint="eastAsia"/>
          <w:sz w:val="32"/>
          <w:szCs w:val="32"/>
        </w:rPr>
        <w:t>基本支出</w:t>
      </w:r>
      <w:r>
        <w:rPr>
          <w:rFonts w:ascii="仿宋" w:eastAsia="仿宋" w:hAnsi="仿宋" w:hint="eastAsia"/>
          <w:sz w:val="32"/>
          <w:szCs w:val="32"/>
        </w:rPr>
        <w:t>39741.69</w:t>
      </w:r>
      <w:r>
        <w:rPr>
          <w:rFonts w:ascii="仿宋" w:eastAsia="仿宋" w:hAnsi="仿宋" w:hint="eastAsia"/>
          <w:sz w:val="32"/>
          <w:szCs w:val="32"/>
        </w:rPr>
        <w:t>万元，占</w:t>
      </w:r>
      <w:r>
        <w:rPr>
          <w:rFonts w:ascii="仿宋" w:eastAsia="仿宋" w:hAnsi="仿宋" w:hint="eastAsia"/>
          <w:sz w:val="32"/>
          <w:szCs w:val="32"/>
        </w:rPr>
        <w:t>62.28%</w:t>
      </w:r>
      <w:r>
        <w:rPr>
          <w:rFonts w:ascii="仿宋" w:eastAsia="仿宋" w:hAnsi="仿宋" w:hint="eastAsia"/>
          <w:sz w:val="32"/>
          <w:szCs w:val="32"/>
        </w:rPr>
        <w:t>；项目支出</w:t>
      </w:r>
      <w:r>
        <w:rPr>
          <w:rFonts w:ascii="仿宋" w:eastAsia="仿宋" w:hAnsi="仿宋" w:hint="eastAsia"/>
          <w:sz w:val="32"/>
          <w:szCs w:val="32"/>
        </w:rPr>
        <w:t>24067.13</w:t>
      </w:r>
      <w:r>
        <w:rPr>
          <w:rFonts w:ascii="仿宋" w:eastAsia="仿宋" w:hAnsi="仿宋" w:hint="eastAsia"/>
          <w:sz w:val="32"/>
          <w:szCs w:val="32"/>
        </w:rPr>
        <w:t>万元，占</w:t>
      </w:r>
      <w:r>
        <w:rPr>
          <w:rFonts w:ascii="仿宋" w:eastAsia="仿宋" w:hAnsi="仿宋" w:hint="eastAsia"/>
          <w:sz w:val="32"/>
          <w:szCs w:val="32"/>
        </w:rPr>
        <w:t xml:space="preserve"> 37.72%</w:t>
      </w:r>
      <w:r>
        <w:rPr>
          <w:rFonts w:ascii="仿宋" w:eastAsia="仿宋" w:hAnsi="仿宋" w:hint="eastAsia"/>
          <w:sz w:val="32"/>
          <w:szCs w:val="32"/>
        </w:rPr>
        <w:t>。</w:t>
      </w:r>
    </w:p>
    <w:p w:rsidR="00D56551" w:rsidRDefault="00C732AD">
      <w:pPr>
        <w:pStyle w:val="a4"/>
        <w:jc w:val="center"/>
      </w:pPr>
      <w:bookmarkStart w:id="24" w:name="_Toc15377208"/>
      <w:bookmarkStart w:id="25" w:name="_Toc15396606"/>
      <w:r>
        <w:rPr>
          <w:noProof/>
        </w:rPr>
        <w:lastRenderedPageBreak/>
        <w:drawing>
          <wp:inline distT="0" distB="0" distL="114300" distR="114300">
            <wp:extent cx="3531870" cy="2638425"/>
            <wp:effectExtent l="4445" t="5080" r="6985" b="44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56551" w:rsidRDefault="00C732AD">
      <w:pPr>
        <w:pStyle w:val="a4"/>
        <w:jc w:val="center"/>
        <w:rPr>
          <w:sz w:val="21"/>
          <w:szCs w:val="21"/>
        </w:rPr>
      </w:pPr>
      <w:r>
        <w:rPr>
          <w:rFonts w:hint="eastAsia"/>
          <w:sz w:val="21"/>
          <w:szCs w:val="21"/>
        </w:rPr>
        <w:t>图</w:t>
      </w:r>
      <w:r>
        <w:rPr>
          <w:rFonts w:hint="eastAsia"/>
          <w:sz w:val="21"/>
          <w:szCs w:val="21"/>
        </w:rPr>
        <w:t>3</w:t>
      </w:r>
    </w:p>
    <w:p w:rsidR="00D56551" w:rsidRDefault="00C732AD">
      <w:pPr>
        <w:spacing w:line="600" w:lineRule="exact"/>
        <w:ind w:firstLineChars="200" w:firstLine="640"/>
        <w:outlineLvl w:val="1"/>
        <w:rPr>
          <w:rStyle w:val="2Char"/>
          <w:rFonts w:ascii="黑体" w:eastAsia="黑体" w:hAnsi="黑体"/>
          <w:b w:val="0"/>
        </w:rPr>
      </w:pPr>
      <w:r>
        <w:rPr>
          <w:rFonts w:ascii="黑体" w:eastAsia="黑体" w:hAnsi="黑体" w:hint="eastAsia"/>
          <w:sz w:val="32"/>
          <w:szCs w:val="32"/>
        </w:rPr>
        <w:t>四、财</w:t>
      </w:r>
      <w:r>
        <w:rPr>
          <w:rStyle w:val="2Char"/>
          <w:rFonts w:ascii="黑体" w:eastAsia="黑体" w:hAnsi="黑体" w:hint="eastAsia"/>
          <w:b w:val="0"/>
        </w:rPr>
        <w:t>政拨款收入支出决算总体情况说明</w:t>
      </w:r>
      <w:bookmarkEnd w:id="24"/>
      <w:bookmarkEnd w:id="25"/>
    </w:p>
    <w:p w:rsidR="00D56551" w:rsidRDefault="00C732AD">
      <w:pPr>
        <w:spacing w:line="600" w:lineRule="exact"/>
        <w:ind w:firstLine="640"/>
        <w:rPr>
          <w:rFonts w:ascii="仿宋" w:eastAsia="仿宋_GB2312" w:hAnsi="仿宋"/>
          <w:sz w:val="32"/>
          <w:szCs w:val="32"/>
        </w:rPr>
      </w:pPr>
      <w:r>
        <w:rPr>
          <w:rFonts w:ascii="仿宋" w:eastAsia="仿宋" w:hAnsi="仿宋"/>
          <w:sz w:val="32"/>
          <w:szCs w:val="32"/>
        </w:rPr>
        <w:t>20</w:t>
      </w:r>
      <w:r>
        <w:rPr>
          <w:rFonts w:ascii="仿宋" w:eastAsia="仿宋" w:hAnsi="仿宋" w:hint="eastAsia"/>
          <w:sz w:val="32"/>
          <w:szCs w:val="32"/>
        </w:rPr>
        <w:t>22</w:t>
      </w:r>
      <w:r>
        <w:rPr>
          <w:rFonts w:ascii="仿宋" w:eastAsia="仿宋" w:hAnsi="仿宋" w:hint="eastAsia"/>
          <w:sz w:val="32"/>
          <w:szCs w:val="32"/>
        </w:rPr>
        <w:t>年财政拨款收、支</w:t>
      </w:r>
      <w:r>
        <w:rPr>
          <w:rFonts w:ascii="仿宋" w:eastAsia="仿宋" w:hAnsi="仿宋" w:hint="eastAsia"/>
          <w:sz w:val="32"/>
          <w:szCs w:val="32"/>
        </w:rPr>
        <w:t>均为</w:t>
      </w:r>
      <w:r>
        <w:rPr>
          <w:rFonts w:ascii="仿宋_GB2312" w:eastAsia="仿宋_GB2312" w:hAnsi="仿宋" w:hint="eastAsia"/>
          <w:sz w:val="32"/>
          <w:szCs w:val="32"/>
        </w:rPr>
        <w:t>42939.93</w:t>
      </w:r>
      <w:r>
        <w:rPr>
          <w:rFonts w:ascii="仿宋" w:eastAsia="仿宋" w:hAnsi="仿宋" w:hint="eastAsia"/>
          <w:sz w:val="32"/>
          <w:szCs w:val="32"/>
        </w:rPr>
        <w:t>万元。与</w:t>
      </w:r>
      <w:r>
        <w:rPr>
          <w:rFonts w:ascii="仿宋" w:eastAsia="仿宋" w:hAnsi="仿宋"/>
          <w:sz w:val="32"/>
          <w:szCs w:val="32"/>
        </w:rPr>
        <w:t>20</w:t>
      </w:r>
      <w:r>
        <w:rPr>
          <w:rFonts w:ascii="仿宋" w:eastAsia="仿宋" w:hAnsi="仿宋" w:hint="eastAsia"/>
          <w:sz w:val="32"/>
          <w:szCs w:val="32"/>
        </w:rPr>
        <w:t>21</w:t>
      </w:r>
      <w:r>
        <w:rPr>
          <w:rFonts w:ascii="仿宋" w:eastAsia="仿宋" w:hAnsi="仿宋" w:hint="eastAsia"/>
          <w:sz w:val="32"/>
          <w:szCs w:val="32"/>
        </w:rPr>
        <w:t>年相比，财政拨款收、支总计各增加</w:t>
      </w:r>
      <w:r>
        <w:rPr>
          <w:rFonts w:ascii="仿宋_GB2312" w:eastAsia="仿宋_GB2312" w:hAnsi="仿宋" w:hint="eastAsia"/>
          <w:sz w:val="32"/>
          <w:szCs w:val="32"/>
        </w:rPr>
        <w:t>2185.39</w:t>
      </w:r>
      <w:r>
        <w:rPr>
          <w:rFonts w:ascii="仿宋" w:eastAsia="仿宋" w:hAnsi="仿宋" w:hint="eastAsia"/>
          <w:sz w:val="32"/>
          <w:szCs w:val="32"/>
        </w:rPr>
        <w:t>万元，</w:t>
      </w:r>
      <w:r>
        <w:rPr>
          <w:rFonts w:ascii="仿宋" w:eastAsia="仿宋" w:hAnsi="仿宋" w:hint="eastAsia"/>
          <w:sz w:val="32"/>
          <w:szCs w:val="32"/>
        </w:rPr>
        <w:t>各</w:t>
      </w:r>
      <w:r>
        <w:rPr>
          <w:rFonts w:ascii="仿宋" w:eastAsia="仿宋" w:hAnsi="仿宋" w:hint="eastAsia"/>
          <w:sz w:val="32"/>
          <w:szCs w:val="32"/>
        </w:rPr>
        <w:t>增长</w:t>
      </w:r>
      <w:r>
        <w:rPr>
          <w:rFonts w:ascii="仿宋_GB2312" w:eastAsia="仿宋_GB2312" w:hAnsi="仿宋" w:hint="eastAsia"/>
          <w:sz w:val="32"/>
          <w:szCs w:val="32"/>
        </w:rPr>
        <w:t>5.36</w:t>
      </w:r>
      <w:r>
        <w:rPr>
          <w:rFonts w:ascii="仿宋" w:eastAsia="仿宋" w:hAnsi="仿宋"/>
          <w:sz w:val="32"/>
          <w:szCs w:val="32"/>
        </w:rPr>
        <w:t>%</w:t>
      </w:r>
      <w:r>
        <w:rPr>
          <w:rFonts w:ascii="仿宋" w:eastAsia="仿宋" w:hAnsi="仿宋" w:hint="eastAsia"/>
          <w:sz w:val="32"/>
          <w:szCs w:val="32"/>
        </w:rPr>
        <w:t>。主要变动原因是</w:t>
      </w:r>
      <w:r>
        <w:rPr>
          <w:rFonts w:ascii="仿宋_GB2312" w:eastAsia="仿宋_GB2312" w:hAnsi="仿宋" w:hint="eastAsia"/>
          <w:sz w:val="32"/>
          <w:szCs w:val="32"/>
        </w:rPr>
        <w:t>2021</w:t>
      </w:r>
      <w:r>
        <w:rPr>
          <w:rFonts w:ascii="仿宋_GB2312" w:eastAsia="仿宋_GB2312" w:hAnsi="仿宋" w:hint="eastAsia"/>
          <w:sz w:val="32"/>
          <w:szCs w:val="32"/>
        </w:rPr>
        <w:t>年时受疫情影响，</w:t>
      </w:r>
      <w:r>
        <w:rPr>
          <w:rFonts w:ascii="仿宋" w:eastAsia="仿宋" w:hAnsi="仿宋" w:hint="eastAsia"/>
          <w:sz w:val="32"/>
          <w:szCs w:val="32"/>
        </w:rPr>
        <w:t>财政拨款</w:t>
      </w:r>
      <w:r>
        <w:rPr>
          <w:rFonts w:ascii="仿宋" w:eastAsia="仿宋" w:hAnsi="仿宋" w:hint="eastAsia"/>
          <w:sz w:val="32"/>
          <w:szCs w:val="32"/>
        </w:rPr>
        <w:t>收入、支出</w:t>
      </w:r>
      <w:r>
        <w:rPr>
          <w:rFonts w:ascii="仿宋_GB2312" w:eastAsia="仿宋_GB2312" w:hAnsi="仿宋" w:hint="eastAsia"/>
          <w:sz w:val="32"/>
          <w:szCs w:val="32"/>
        </w:rPr>
        <w:t>减少</w:t>
      </w:r>
      <w:r>
        <w:rPr>
          <w:rFonts w:ascii="仿宋_GB2312" w:eastAsia="仿宋_GB2312" w:hAnsi="仿宋" w:hint="eastAsia"/>
          <w:sz w:val="32"/>
          <w:szCs w:val="32"/>
        </w:rPr>
        <w:t>。</w:t>
      </w:r>
    </w:p>
    <w:p w:rsidR="00D56551" w:rsidRDefault="00D56551">
      <w:pPr>
        <w:pStyle w:val="a4"/>
        <w:jc w:val="center"/>
      </w:pPr>
    </w:p>
    <w:p w:rsidR="00D56551" w:rsidRDefault="00C732AD">
      <w:pPr>
        <w:pStyle w:val="a4"/>
        <w:jc w:val="center"/>
      </w:pPr>
      <w:r>
        <w:rPr>
          <w:noProof/>
        </w:rPr>
        <w:drawing>
          <wp:inline distT="0" distB="0" distL="114300" distR="114300">
            <wp:extent cx="4473575" cy="3512185"/>
            <wp:effectExtent l="4445" t="4445" r="17780" b="7620"/>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56551" w:rsidRDefault="00C732AD">
      <w:pPr>
        <w:pStyle w:val="a4"/>
        <w:jc w:val="center"/>
      </w:pPr>
      <w:r>
        <w:rPr>
          <w:rFonts w:hint="eastAsia"/>
          <w:sz w:val="21"/>
          <w:szCs w:val="21"/>
        </w:rPr>
        <w:t>图</w:t>
      </w:r>
      <w:r>
        <w:rPr>
          <w:rFonts w:hint="eastAsia"/>
          <w:sz w:val="21"/>
          <w:szCs w:val="21"/>
        </w:rPr>
        <w:t>4</w:t>
      </w:r>
    </w:p>
    <w:p w:rsidR="00D56551" w:rsidRDefault="00C732AD">
      <w:pPr>
        <w:spacing w:line="600" w:lineRule="exact"/>
        <w:ind w:firstLineChars="200" w:firstLine="640"/>
        <w:outlineLvl w:val="1"/>
        <w:rPr>
          <w:rStyle w:val="2Char"/>
          <w:rFonts w:ascii="黑体" w:eastAsia="黑体" w:hAnsi="黑体"/>
          <w:b w:val="0"/>
        </w:rPr>
      </w:pPr>
      <w:bookmarkStart w:id="26" w:name="_Toc15396607"/>
      <w:bookmarkStart w:id="27" w:name="_Toc15377209"/>
      <w:r>
        <w:rPr>
          <w:rFonts w:ascii="黑体" w:eastAsia="黑体" w:hAnsi="黑体" w:hint="eastAsia"/>
          <w:sz w:val="32"/>
          <w:szCs w:val="32"/>
        </w:rPr>
        <w:lastRenderedPageBreak/>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26"/>
      <w:bookmarkEnd w:id="27"/>
    </w:p>
    <w:p w:rsidR="00D56551" w:rsidRDefault="00C732AD">
      <w:pPr>
        <w:spacing w:line="600" w:lineRule="exact"/>
        <w:ind w:firstLineChars="200" w:firstLine="643"/>
        <w:outlineLvl w:val="2"/>
        <w:rPr>
          <w:rFonts w:ascii="仿宋" w:eastAsia="仿宋" w:hAnsi="仿宋"/>
          <w:b/>
          <w:sz w:val="32"/>
          <w:szCs w:val="32"/>
        </w:rPr>
      </w:pPr>
      <w:bookmarkStart w:id="28" w:name="_Toc15377210"/>
      <w:r>
        <w:rPr>
          <w:rFonts w:ascii="仿宋" w:eastAsia="仿宋" w:hAnsi="仿宋" w:hint="eastAsia"/>
          <w:b/>
          <w:sz w:val="32"/>
          <w:szCs w:val="32"/>
        </w:rPr>
        <w:t>（一）一般公共预算财政拨款支出决算总体情况</w:t>
      </w:r>
      <w:bookmarkEnd w:id="28"/>
    </w:p>
    <w:p w:rsidR="00D56551" w:rsidRDefault="00C732AD">
      <w:pPr>
        <w:spacing w:line="600" w:lineRule="exact"/>
        <w:ind w:firstLineChars="200" w:firstLine="640"/>
      </w:pPr>
      <w:r>
        <w:rPr>
          <w:rFonts w:ascii="仿宋" w:eastAsia="仿宋" w:hAnsi="仿宋" w:hint="eastAsia"/>
          <w:sz w:val="32"/>
          <w:szCs w:val="32"/>
        </w:rPr>
        <w:t>202</w:t>
      </w:r>
      <w:r>
        <w:rPr>
          <w:rFonts w:ascii="仿宋" w:eastAsia="仿宋" w:hAnsi="仿宋" w:hint="eastAsia"/>
          <w:sz w:val="32"/>
          <w:szCs w:val="32"/>
        </w:rPr>
        <w:t>2</w:t>
      </w:r>
      <w:r>
        <w:rPr>
          <w:rFonts w:ascii="仿宋" w:eastAsia="仿宋" w:hAnsi="仿宋" w:hint="eastAsia"/>
          <w:sz w:val="32"/>
          <w:szCs w:val="32"/>
        </w:rPr>
        <w:t>年</w:t>
      </w:r>
      <w:r>
        <w:rPr>
          <w:rFonts w:ascii="仿宋" w:eastAsia="仿宋" w:hAnsi="仿宋" w:hint="eastAsia"/>
          <w:sz w:val="32"/>
          <w:szCs w:val="32"/>
        </w:rPr>
        <w:t>财政拨款支出全部为一般公共预算财政拨款支出，因此总体情况就是财政拨款支出决算总体情况。</w:t>
      </w:r>
    </w:p>
    <w:p w:rsidR="00D56551" w:rsidRDefault="00C732AD">
      <w:pPr>
        <w:pStyle w:val="a4"/>
        <w:jc w:val="center"/>
      </w:pPr>
      <w:r>
        <w:rPr>
          <w:noProof/>
        </w:rPr>
        <w:drawing>
          <wp:inline distT="0" distB="0" distL="114300" distR="114300">
            <wp:extent cx="4817110" cy="3009900"/>
            <wp:effectExtent l="4445" t="4445" r="17145" b="1460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56551" w:rsidRDefault="00C732AD">
      <w:pPr>
        <w:pStyle w:val="a4"/>
        <w:jc w:val="center"/>
      </w:pPr>
      <w:r>
        <w:rPr>
          <w:rFonts w:hint="eastAsia"/>
          <w:sz w:val="21"/>
          <w:szCs w:val="21"/>
        </w:rPr>
        <w:t>图</w:t>
      </w:r>
      <w:r>
        <w:rPr>
          <w:rFonts w:hint="eastAsia"/>
          <w:sz w:val="21"/>
          <w:szCs w:val="21"/>
        </w:rPr>
        <w:t>5</w:t>
      </w:r>
    </w:p>
    <w:p w:rsidR="00D56551" w:rsidRDefault="00C732AD">
      <w:pPr>
        <w:spacing w:line="600" w:lineRule="exact"/>
        <w:ind w:firstLineChars="200" w:firstLine="643"/>
        <w:outlineLvl w:val="2"/>
        <w:rPr>
          <w:rFonts w:ascii="仿宋" w:eastAsia="仿宋" w:hAnsi="仿宋"/>
          <w:b/>
          <w:sz w:val="32"/>
          <w:szCs w:val="32"/>
        </w:rPr>
      </w:pPr>
      <w:bookmarkStart w:id="29" w:name="_Toc15377211"/>
      <w:r>
        <w:rPr>
          <w:rFonts w:ascii="仿宋" w:eastAsia="仿宋" w:hAnsi="仿宋" w:hint="eastAsia"/>
          <w:b/>
          <w:sz w:val="32"/>
          <w:szCs w:val="32"/>
        </w:rPr>
        <w:t>（二）一般公共预算财政拨款支出决算结构情况</w:t>
      </w:r>
      <w:bookmarkEnd w:id="29"/>
    </w:p>
    <w:p w:rsidR="00D56551" w:rsidRDefault="00C732AD" w:rsidP="007A7B68">
      <w:pPr>
        <w:pStyle w:val="a0"/>
        <w:spacing w:before="93"/>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w:t>
      </w:r>
      <w:r>
        <w:rPr>
          <w:rFonts w:ascii="仿宋" w:eastAsia="仿宋" w:hAnsi="仿宋" w:hint="eastAsia"/>
          <w:sz w:val="32"/>
          <w:szCs w:val="32"/>
        </w:rPr>
        <w:t>年一般公共预算财政拨款支出</w:t>
      </w:r>
      <w:r>
        <w:rPr>
          <w:rFonts w:hAnsi="仿宋" w:hint="eastAsia"/>
          <w:sz w:val="32"/>
          <w:szCs w:val="32"/>
        </w:rPr>
        <w:t>42939.93</w:t>
      </w:r>
      <w:r>
        <w:rPr>
          <w:rFonts w:ascii="仿宋" w:eastAsia="仿宋" w:hAnsi="仿宋" w:hint="eastAsia"/>
          <w:sz w:val="32"/>
          <w:szCs w:val="32"/>
        </w:rPr>
        <w:t>万元，主要用于以下方面</w:t>
      </w:r>
      <w:r>
        <w:rPr>
          <w:rFonts w:ascii="仿宋" w:eastAsia="仿宋" w:hAnsi="仿宋"/>
          <w:sz w:val="32"/>
          <w:szCs w:val="32"/>
        </w:rPr>
        <w:t>:</w:t>
      </w:r>
      <w:r>
        <w:rPr>
          <w:rFonts w:ascii="仿宋" w:eastAsia="仿宋" w:hAnsi="仿宋" w:hint="eastAsia"/>
          <w:b/>
          <w:bCs/>
          <w:sz w:val="32"/>
          <w:szCs w:val="32"/>
        </w:rPr>
        <w:t>一般公共服务支出</w:t>
      </w:r>
      <w:r>
        <w:rPr>
          <w:rFonts w:ascii="仿宋" w:eastAsia="仿宋" w:hAnsi="仿宋" w:hint="eastAsia"/>
          <w:sz w:val="32"/>
          <w:szCs w:val="32"/>
        </w:rPr>
        <w:t>50.96</w:t>
      </w:r>
      <w:r>
        <w:rPr>
          <w:rFonts w:ascii="仿宋" w:eastAsia="仿宋" w:hAnsi="仿宋" w:hint="eastAsia"/>
          <w:sz w:val="32"/>
          <w:szCs w:val="32"/>
        </w:rPr>
        <w:t>万元，占</w:t>
      </w:r>
      <w:r>
        <w:rPr>
          <w:rFonts w:ascii="仿宋" w:eastAsia="仿宋" w:hAnsi="仿宋" w:hint="eastAsia"/>
          <w:sz w:val="32"/>
          <w:szCs w:val="32"/>
        </w:rPr>
        <w:t>0.12</w:t>
      </w:r>
      <w:r>
        <w:rPr>
          <w:rFonts w:ascii="仿宋" w:eastAsia="仿宋" w:hAnsi="仿宋" w:hint="eastAsia"/>
          <w:sz w:val="32"/>
          <w:szCs w:val="32"/>
        </w:rPr>
        <w:t>%</w:t>
      </w:r>
      <w:r>
        <w:rPr>
          <w:rFonts w:ascii="仿宋" w:eastAsia="仿宋" w:hAnsi="仿宋" w:hint="eastAsia"/>
          <w:sz w:val="32"/>
          <w:szCs w:val="32"/>
        </w:rPr>
        <w:t>；</w:t>
      </w:r>
      <w:r>
        <w:rPr>
          <w:rFonts w:ascii="仿宋" w:eastAsia="仿宋" w:hAnsi="仿宋" w:hint="eastAsia"/>
          <w:b/>
          <w:bCs/>
          <w:sz w:val="32"/>
          <w:szCs w:val="32"/>
        </w:rPr>
        <w:t>教育支出</w:t>
      </w:r>
      <w:r>
        <w:rPr>
          <w:rFonts w:ascii="仿宋" w:eastAsia="仿宋" w:hAnsi="仿宋" w:hint="eastAsia"/>
          <w:sz w:val="32"/>
          <w:szCs w:val="32"/>
        </w:rPr>
        <w:t>42174.12</w:t>
      </w:r>
      <w:r>
        <w:rPr>
          <w:rFonts w:ascii="仿宋" w:eastAsia="仿宋" w:hAnsi="仿宋" w:hint="eastAsia"/>
          <w:sz w:val="32"/>
          <w:szCs w:val="32"/>
        </w:rPr>
        <w:t>万元，占</w:t>
      </w:r>
      <w:r>
        <w:rPr>
          <w:rFonts w:ascii="仿宋" w:eastAsia="仿宋" w:hAnsi="仿宋" w:hint="eastAsia"/>
          <w:sz w:val="32"/>
          <w:szCs w:val="32"/>
        </w:rPr>
        <w:t>98.22</w:t>
      </w:r>
      <w:r>
        <w:rPr>
          <w:rFonts w:ascii="仿宋" w:eastAsia="仿宋" w:hAnsi="仿宋" w:hint="eastAsia"/>
          <w:sz w:val="32"/>
          <w:szCs w:val="32"/>
        </w:rPr>
        <w:t>%</w:t>
      </w:r>
      <w:r>
        <w:rPr>
          <w:rFonts w:ascii="仿宋" w:eastAsia="仿宋" w:hAnsi="仿宋" w:hint="eastAsia"/>
          <w:sz w:val="32"/>
          <w:szCs w:val="32"/>
        </w:rPr>
        <w:t>；</w:t>
      </w:r>
      <w:r>
        <w:rPr>
          <w:rFonts w:ascii="仿宋" w:eastAsia="仿宋" w:hAnsi="仿宋" w:hint="eastAsia"/>
          <w:b/>
          <w:bCs/>
          <w:sz w:val="32"/>
          <w:szCs w:val="32"/>
        </w:rPr>
        <w:t>科学技术支出</w:t>
      </w:r>
      <w:r>
        <w:rPr>
          <w:rFonts w:ascii="仿宋" w:eastAsia="仿宋" w:hAnsi="仿宋" w:hint="eastAsia"/>
          <w:sz w:val="32"/>
          <w:szCs w:val="32"/>
        </w:rPr>
        <w:t>171.75</w:t>
      </w:r>
      <w:r>
        <w:rPr>
          <w:rFonts w:ascii="仿宋" w:eastAsia="仿宋" w:hAnsi="仿宋" w:hint="eastAsia"/>
          <w:sz w:val="32"/>
          <w:szCs w:val="32"/>
        </w:rPr>
        <w:t>万元，占</w:t>
      </w:r>
      <w:r>
        <w:rPr>
          <w:rFonts w:ascii="仿宋" w:eastAsia="仿宋" w:hAnsi="仿宋" w:hint="eastAsia"/>
          <w:sz w:val="32"/>
          <w:szCs w:val="32"/>
        </w:rPr>
        <w:t>0.40</w:t>
      </w:r>
      <w:r>
        <w:rPr>
          <w:rFonts w:ascii="仿宋" w:eastAsia="仿宋" w:hAnsi="仿宋" w:hint="eastAsia"/>
          <w:sz w:val="32"/>
          <w:szCs w:val="32"/>
        </w:rPr>
        <w:t>%</w:t>
      </w:r>
      <w:r>
        <w:rPr>
          <w:rFonts w:ascii="仿宋" w:eastAsia="仿宋" w:hAnsi="仿宋" w:hint="eastAsia"/>
          <w:sz w:val="32"/>
          <w:szCs w:val="32"/>
        </w:rPr>
        <w:t>；</w:t>
      </w:r>
      <w:r>
        <w:rPr>
          <w:rFonts w:ascii="仿宋" w:eastAsia="仿宋" w:hAnsi="仿宋" w:hint="eastAsia"/>
          <w:b/>
          <w:bCs/>
          <w:sz w:val="32"/>
          <w:szCs w:val="32"/>
        </w:rPr>
        <w:t>社会保障和就业支出</w:t>
      </w:r>
      <w:r>
        <w:rPr>
          <w:rFonts w:ascii="仿宋" w:eastAsia="仿宋" w:hAnsi="仿宋" w:hint="eastAsia"/>
          <w:sz w:val="32"/>
          <w:szCs w:val="32"/>
        </w:rPr>
        <w:t>18.48</w:t>
      </w:r>
      <w:r>
        <w:rPr>
          <w:rFonts w:ascii="仿宋" w:eastAsia="仿宋" w:hAnsi="仿宋" w:hint="eastAsia"/>
          <w:sz w:val="32"/>
          <w:szCs w:val="32"/>
        </w:rPr>
        <w:t>万元，占</w:t>
      </w:r>
      <w:r>
        <w:rPr>
          <w:rFonts w:ascii="仿宋" w:eastAsia="仿宋" w:hAnsi="仿宋" w:hint="eastAsia"/>
          <w:sz w:val="32"/>
          <w:szCs w:val="32"/>
        </w:rPr>
        <w:t>0.04</w:t>
      </w:r>
      <w:r>
        <w:rPr>
          <w:rFonts w:ascii="仿宋" w:eastAsia="仿宋" w:hAnsi="仿宋" w:hint="eastAsia"/>
          <w:sz w:val="32"/>
          <w:szCs w:val="32"/>
        </w:rPr>
        <w:t>%</w:t>
      </w:r>
      <w:r>
        <w:rPr>
          <w:rFonts w:ascii="仿宋" w:eastAsia="仿宋" w:hAnsi="仿宋" w:hint="eastAsia"/>
          <w:sz w:val="32"/>
          <w:szCs w:val="32"/>
        </w:rPr>
        <w:t>；</w:t>
      </w:r>
      <w:r>
        <w:rPr>
          <w:rFonts w:ascii="仿宋" w:eastAsia="仿宋" w:hAnsi="仿宋" w:hint="eastAsia"/>
          <w:b/>
          <w:bCs/>
          <w:sz w:val="32"/>
          <w:szCs w:val="32"/>
        </w:rPr>
        <w:t>卫生健康支出</w:t>
      </w:r>
      <w:r>
        <w:rPr>
          <w:rFonts w:ascii="仿宋" w:eastAsia="仿宋" w:hAnsi="仿宋" w:hint="eastAsia"/>
          <w:sz w:val="32"/>
          <w:szCs w:val="32"/>
        </w:rPr>
        <w:t>424.62</w:t>
      </w:r>
      <w:r>
        <w:rPr>
          <w:rFonts w:ascii="仿宋" w:eastAsia="仿宋" w:hAnsi="仿宋" w:hint="eastAsia"/>
          <w:sz w:val="32"/>
          <w:szCs w:val="32"/>
        </w:rPr>
        <w:t>万元，占</w:t>
      </w:r>
      <w:r>
        <w:rPr>
          <w:rFonts w:ascii="仿宋" w:eastAsia="仿宋" w:hAnsi="仿宋" w:hint="eastAsia"/>
          <w:sz w:val="32"/>
          <w:szCs w:val="32"/>
        </w:rPr>
        <w:t>0.99</w:t>
      </w:r>
      <w:r>
        <w:rPr>
          <w:rFonts w:ascii="仿宋" w:eastAsia="仿宋" w:hAnsi="仿宋" w:hint="eastAsia"/>
          <w:sz w:val="32"/>
          <w:szCs w:val="32"/>
        </w:rPr>
        <w:t>%</w:t>
      </w:r>
      <w:r>
        <w:rPr>
          <w:rFonts w:ascii="仿宋" w:eastAsia="仿宋" w:hAnsi="仿宋" w:hint="eastAsia"/>
          <w:sz w:val="32"/>
          <w:szCs w:val="32"/>
        </w:rPr>
        <w:t>；</w:t>
      </w:r>
      <w:r>
        <w:rPr>
          <w:rFonts w:ascii="仿宋" w:eastAsia="仿宋" w:hAnsi="仿宋" w:hint="eastAsia"/>
          <w:b/>
          <w:bCs/>
          <w:sz w:val="32"/>
          <w:szCs w:val="32"/>
        </w:rPr>
        <w:t>债务付息支出</w:t>
      </w:r>
      <w:r>
        <w:rPr>
          <w:rFonts w:ascii="仿宋" w:eastAsia="仿宋" w:hAnsi="仿宋" w:hint="eastAsia"/>
          <w:sz w:val="32"/>
          <w:szCs w:val="32"/>
        </w:rPr>
        <w:t>100</w:t>
      </w:r>
      <w:r>
        <w:rPr>
          <w:rFonts w:ascii="仿宋" w:eastAsia="仿宋" w:hAnsi="仿宋" w:hint="eastAsia"/>
          <w:sz w:val="32"/>
          <w:szCs w:val="32"/>
        </w:rPr>
        <w:t>万元，占</w:t>
      </w:r>
      <w:r>
        <w:rPr>
          <w:rFonts w:ascii="仿宋" w:eastAsia="仿宋" w:hAnsi="仿宋" w:hint="eastAsia"/>
          <w:sz w:val="32"/>
          <w:szCs w:val="32"/>
        </w:rPr>
        <w:t>0.23</w:t>
      </w:r>
      <w:r>
        <w:rPr>
          <w:rFonts w:ascii="仿宋" w:eastAsia="仿宋" w:hAnsi="仿宋" w:hint="eastAsia"/>
          <w:sz w:val="32"/>
          <w:szCs w:val="32"/>
        </w:rPr>
        <w:t>%</w:t>
      </w:r>
      <w:r>
        <w:rPr>
          <w:rFonts w:ascii="仿宋" w:eastAsia="仿宋" w:hAnsi="仿宋" w:hint="eastAsia"/>
          <w:sz w:val="32"/>
          <w:szCs w:val="32"/>
        </w:rPr>
        <w:t>。</w:t>
      </w:r>
    </w:p>
    <w:p w:rsidR="00D56551" w:rsidRDefault="00C732AD" w:rsidP="007A7B68">
      <w:pPr>
        <w:pStyle w:val="a0"/>
        <w:spacing w:before="93"/>
        <w:rPr>
          <w:rFonts w:ascii="仿宋" w:eastAsia="仿宋" w:hAnsi="仿宋"/>
          <w:sz w:val="32"/>
          <w:szCs w:val="32"/>
        </w:rPr>
      </w:pPr>
      <w:r>
        <w:rPr>
          <w:noProof/>
        </w:rPr>
        <w:lastRenderedPageBreak/>
        <w:drawing>
          <wp:inline distT="0" distB="0" distL="114300" distR="114300">
            <wp:extent cx="5069205" cy="3568065"/>
            <wp:effectExtent l="4445" t="4445" r="12700" b="8890"/>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56551" w:rsidRDefault="00C732AD" w:rsidP="007A7B68">
      <w:pPr>
        <w:pStyle w:val="a0"/>
        <w:spacing w:before="93"/>
        <w:jc w:val="center"/>
        <w:rPr>
          <w:rFonts w:ascii="仿宋" w:eastAsia="仿宋" w:hAnsi="仿宋"/>
          <w:b/>
          <w:sz w:val="32"/>
          <w:szCs w:val="32"/>
        </w:rPr>
      </w:pPr>
      <w:r>
        <w:rPr>
          <w:rFonts w:ascii="Arial" w:eastAsia="黑体" w:hAnsi="Arial" w:hint="eastAsia"/>
          <w:kern w:val="2"/>
          <w:sz w:val="21"/>
          <w:szCs w:val="21"/>
        </w:rPr>
        <w:t>图</w:t>
      </w:r>
      <w:r>
        <w:rPr>
          <w:rFonts w:ascii="Arial" w:eastAsia="黑体" w:hAnsi="Arial" w:hint="eastAsia"/>
          <w:kern w:val="2"/>
          <w:sz w:val="21"/>
          <w:szCs w:val="21"/>
        </w:rPr>
        <w:t>6</w:t>
      </w:r>
      <w:bookmarkStart w:id="30" w:name="_Toc15377212"/>
    </w:p>
    <w:p w:rsidR="00D56551" w:rsidRDefault="00C732AD">
      <w:pPr>
        <w:spacing w:line="600" w:lineRule="exact"/>
        <w:ind w:firstLineChars="200" w:firstLine="643"/>
        <w:outlineLvl w:val="2"/>
        <w:rPr>
          <w:rFonts w:ascii="仿宋" w:eastAsia="仿宋" w:hAnsi="仿宋"/>
          <w:b/>
          <w:sz w:val="32"/>
          <w:szCs w:val="32"/>
        </w:rPr>
      </w:pPr>
      <w:r>
        <w:rPr>
          <w:rFonts w:ascii="仿宋" w:eastAsia="仿宋" w:hAnsi="仿宋" w:hint="eastAsia"/>
          <w:b/>
          <w:sz w:val="32"/>
          <w:szCs w:val="32"/>
        </w:rPr>
        <w:t>（三）一般公共预算财政拨款支出决算具体情况</w:t>
      </w:r>
      <w:bookmarkEnd w:id="30"/>
    </w:p>
    <w:p w:rsidR="00D56551" w:rsidRDefault="00C732AD">
      <w:pPr>
        <w:spacing w:line="600" w:lineRule="exact"/>
        <w:ind w:firstLineChars="200" w:firstLine="643"/>
        <w:outlineLvl w:val="2"/>
        <w:rPr>
          <w:rFonts w:ascii="仿宋" w:eastAsia="仿宋" w:hAnsi="仿宋"/>
          <w:sz w:val="32"/>
          <w:szCs w:val="32"/>
        </w:rPr>
      </w:pPr>
      <w:bookmarkStart w:id="31" w:name="_Toc15378460"/>
      <w:bookmarkStart w:id="32" w:name="_Toc15377444"/>
      <w:bookmarkStart w:id="33" w:name="_Toc15377213"/>
      <w:r>
        <w:rPr>
          <w:rFonts w:ascii="仿宋" w:eastAsia="仿宋" w:hAnsi="仿宋" w:hint="eastAsia"/>
          <w:b/>
          <w:sz w:val="32"/>
          <w:szCs w:val="32"/>
        </w:rPr>
        <w:t>20</w:t>
      </w:r>
      <w:r>
        <w:rPr>
          <w:rFonts w:ascii="仿宋" w:eastAsia="仿宋" w:hAnsi="仿宋" w:hint="eastAsia"/>
          <w:b/>
          <w:sz w:val="32"/>
          <w:szCs w:val="32"/>
        </w:rPr>
        <w:t>22</w:t>
      </w:r>
      <w:r>
        <w:rPr>
          <w:rFonts w:ascii="仿宋" w:eastAsia="仿宋" w:hAnsi="仿宋" w:hint="eastAsia"/>
          <w:b/>
          <w:sz w:val="32"/>
          <w:szCs w:val="32"/>
        </w:rPr>
        <w:t>年</w:t>
      </w:r>
      <w:r>
        <w:rPr>
          <w:rFonts w:ascii="仿宋" w:eastAsia="仿宋" w:hAnsi="仿宋" w:hint="eastAsia"/>
          <w:b/>
          <w:sz w:val="32"/>
          <w:szCs w:val="32"/>
        </w:rPr>
        <w:t>一</w:t>
      </w:r>
      <w:r>
        <w:rPr>
          <w:rFonts w:ascii="仿宋" w:eastAsia="仿宋" w:hAnsi="仿宋" w:hint="eastAsia"/>
          <w:b/>
          <w:sz w:val="32"/>
          <w:szCs w:val="32"/>
        </w:rPr>
        <w:t>般公共预算支出决算数为</w:t>
      </w:r>
      <w:r>
        <w:rPr>
          <w:rFonts w:ascii="仿宋_GB2312" w:eastAsia="仿宋_GB2312" w:hAnsi="仿宋" w:hint="eastAsia"/>
          <w:sz w:val="32"/>
          <w:szCs w:val="32"/>
        </w:rPr>
        <w:t>42939.93</w:t>
      </w:r>
      <w:r>
        <w:rPr>
          <w:rFonts w:ascii="仿宋" w:eastAsia="仿宋" w:hAnsi="仿宋" w:hint="eastAsia"/>
          <w:sz w:val="32"/>
          <w:szCs w:val="32"/>
        </w:rPr>
        <w:t>万元</w:t>
      </w:r>
      <w:r>
        <w:rPr>
          <w:rFonts w:ascii="仿宋" w:eastAsia="仿宋" w:hAnsi="仿宋" w:hint="eastAsia"/>
          <w:sz w:val="32"/>
          <w:szCs w:val="32"/>
        </w:rPr>
        <w:t>，</w:t>
      </w:r>
      <w:r>
        <w:rPr>
          <w:rStyle w:val="a8"/>
          <w:rFonts w:ascii="仿宋" w:eastAsia="仿宋" w:hAnsi="仿宋" w:hint="eastAsia"/>
          <w:bCs/>
          <w:sz w:val="32"/>
          <w:szCs w:val="32"/>
        </w:rPr>
        <w:t>完成预算</w:t>
      </w:r>
      <w:r>
        <w:rPr>
          <w:rStyle w:val="a8"/>
          <w:rFonts w:ascii="仿宋" w:eastAsia="仿宋" w:hAnsi="仿宋" w:hint="eastAsia"/>
          <w:bCs/>
          <w:sz w:val="32"/>
          <w:szCs w:val="32"/>
        </w:rPr>
        <w:t>100</w:t>
      </w:r>
      <w:r>
        <w:rPr>
          <w:rStyle w:val="a8"/>
          <w:rFonts w:ascii="仿宋" w:eastAsia="仿宋" w:hAnsi="仿宋"/>
          <w:bCs/>
          <w:sz w:val="32"/>
          <w:szCs w:val="32"/>
        </w:rPr>
        <w:t>%</w:t>
      </w:r>
      <w:r>
        <w:rPr>
          <w:rStyle w:val="a8"/>
          <w:rFonts w:ascii="仿宋" w:eastAsia="仿宋" w:hAnsi="仿宋" w:hint="eastAsia"/>
          <w:bCs/>
          <w:sz w:val="32"/>
          <w:szCs w:val="32"/>
        </w:rPr>
        <w:t>。其中：</w:t>
      </w:r>
      <w:bookmarkEnd w:id="31"/>
      <w:bookmarkEnd w:id="32"/>
      <w:bookmarkEnd w:id="33"/>
    </w:p>
    <w:p w:rsidR="00D56551" w:rsidRDefault="00C732AD">
      <w:pPr>
        <w:spacing w:line="600" w:lineRule="exact"/>
        <w:ind w:firstLineChars="200" w:firstLine="643"/>
        <w:rPr>
          <w:rStyle w:val="a8"/>
          <w:rFonts w:ascii="仿宋" w:eastAsia="仿宋" w:hAnsi="仿宋"/>
          <w:b w:val="0"/>
          <w:bCs/>
          <w:sz w:val="32"/>
          <w:szCs w:val="32"/>
        </w:rPr>
      </w:pPr>
      <w:r>
        <w:rPr>
          <w:rStyle w:val="a8"/>
          <w:rFonts w:ascii="仿宋" w:eastAsia="仿宋" w:hAnsi="仿宋" w:hint="eastAsia"/>
          <w:bCs/>
          <w:sz w:val="32"/>
          <w:szCs w:val="32"/>
        </w:rPr>
        <w:t>1.</w:t>
      </w:r>
      <w:r>
        <w:rPr>
          <w:rStyle w:val="a8"/>
          <w:rFonts w:ascii="仿宋" w:eastAsia="仿宋" w:hAnsi="仿宋" w:hint="eastAsia"/>
          <w:bCs/>
          <w:sz w:val="32"/>
          <w:szCs w:val="32"/>
        </w:rPr>
        <w:t>一般公共服务（类）</w:t>
      </w:r>
      <w:r>
        <w:rPr>
          <w:rStyle w:val="a8"/>
          <w:rFonts w:ascii="仿宋" w:eastAsia="仿宋" w:hAnsi="仿宋" w:hint="eastAsia"/>
          <w:bCs/>
          <w:sz w:val="32"/>
          <w:szCs w:val="32"/>
        </w:rPr>
        <w:t>组织事务</w:t>
      </w:r>
      <w:r>
        <w:rPr>
          <w:rStyle w:val="a8"/>
          <w:rFonts w:ascii="仿宋" w:eastAsia="仿宋" w:hAnsi="仿宋" w:hint="eastAsia"/>
          <w:bCs/>
          <w:sz w:val="32"/>
          <w:szCs w:val="32"/>
        </w:rPr>
        <w:t>（款）其他组织事务支出（项）</w:t>
      </w:r>
      <w:r>
        <w:rPr>
          <w:rStyle w:val="a8"/>
          <w:rFonts w:ascii="仿宋" w:eastAsia="仿宋" w:hAnsi="仿宋" w:hint="eastAsia"/>
          <w:bCs/>
          <w:sz w:val="32"/>
          <w:szCs w:val="32"/>
        </w:rPr>
        <w:t>：</w:t>
      </w:r>
      <w:r>
        <w:rPr>
          <w:rStyle w:val="a8"/>
          <w:rFonts w:ascii="仿宋" w:eastAsia="仿宋" w:hAnsi="仿宋" w:hint="eastAsia"/>
          <w:b w:val="0"/>
          <w:bCs/>
          <w:sz w:val="32"/>
          <w:szCs w:val="32"/>
        </w:rPr>
        <w:t>支出决算为</w:t>
      </w:r>
      <w:r>
        <w:rPr>
          <w:rFonts w:ascii="仿宋" w:eastAsia="仿宋" w:hAnsi="仿宋" w:hint="eastAsia"/>
          <w:sz w:val="32"/>
          <w:szCs w:val="32"/>
        </w:rPr>
        <w:t>50.00</w:t>
      </w:r>
      <w:r>
        <w:rPr>
          <w:rStyle w:val="a8"/>
          <w:rFonts w:ascii="仿宋" w:eastAsia="仿宋" w:hAnsi="仿宋" w:hint="eastAsia"/>
          <w:b w:val="0"/>
          <w:bCs/>
          <w:sz w:val="32"/>
          <w:szCs w:val="32"/>
        </w:rPr>
        <w:t>万元，完成预算</w:t>
      </w:r>
      <w:r>
        <w:rPr>
          <w:rStyle w:val="a8"/>
          <w:rFonts w:ascii="仿宋" w:eastAsia="仿宋" w:hAnsi="仿宋" w:hint="eastAsia"/>
          <w:b w:val="0"/>
          <w:bCs/>
          <w:sz w:val="32"/>
          <w:szCs w:val="32"/>
        </w:rPr>
        <w:t>100</w:t>
      </w:r>
      <w:r>
        <w:rPr>
          <w:rStyle w:val="a8"/>
          <w:rFonts w:ascii="仿宋" w:eastAsia="仿宋" w:hAnsi="仿宋"/>
          <w:b w:val="0"/>
          <w:bCs/>
          <w:sz w:val="32"/>
          <w:szCs w:val="32"/>
        </w:rPr>
        <w:t>%</w:t>
      </w:r>
      <w:r>
        <w:rPr>
          <w:rStyle w:val="a8"/>
          <w:rFonts w:ascii="仿宋" w:eastAsia="仿宋" w:hAnsi="仿宋" w:hint="eastAsia"/>
          <w:b w:val="0"/>
          <w:bCs/>
          <w:sz w:val="32"/>
          <w:szCs w:val="32"/>
        </w:rPr>
        <w:t>。</w:t>
      </w:r>
    </w:p>
    <w:p w:rsidR="00D56551" w:rsidRDefault="00C732AD">
      <w:pPr>
        <w:spacing w:line="600" w:lineRule="exact"/>
        <w:ind w:firstLineChars="400" w:firstLine="1285"/>
        <w:rPr>
          <w:rStyle w:val="a8"/>
          <w:rFonts w:ascii="仿宋" w:eastAsia="仿宋" w:hAnsi="仿宋"/>
          <w:b w:val="0"/>
          <w:bCs/>
          <w:sz w:val="32"/>
          <w:szCs w:val="32"/>
        </w:rPr>
      </w:pPr>
      <w:r>
        <w:rPr>
          <w:rStyle w:val="a8"/>
          <w:rFonts w:ascii="仿宋" w:eastAsia="仿宋" w:hAnsi="仿宋" w:hint="eastAsia"/>
          <w:bCs/>
          <w:sz w:val="32"/>
          <w:szCs w:val="32"/>
        </w:rPr>
        <w:t>一般公共服务（类）其他一般公共服务支出（款）其他一般公共服务支出（项）</w:t>
      </w:r>
      <w:r>
        <w:rPr>
          <w:rStyle w:val="a8"/>
          <w:rFonts w:ascii="仿宋" w:eastAsia="仿宋" w:hAnsi="仿宋" w:hint="eastAsia"/>
          <w:bCs/>
          <w:sz w:val="32"/>
          <w:szCs w:val="32"/>
        </w:rPr>
        <w:t>：</w:t>
      </w:r>
      <w:r>
        <w:rPr>
          <w:rStyle w:val="a8"/>
          <w:rFonts w:ascii="仿宋" w:eastAsia="仿宋" w:hAnsi="仿宋" w:hint="eastAsia"/>
          <w:b w:val="0"/>
          <w:bCs/>
          <w:sz w:val="32"/>
          <w:szCs w:val="32"/>
        </w:rPr>
        <w:t>支出决算为</w:t>
      </w:r>
      <w:r>
        <w:rPr>
          <w:rFonts w:ascii="仿宋" w:eastAsia="仿宋" w:hAnsi="仿宋" w:hint="eastAsia"/>
          <w:sz w:val="32"/>
          <w:szCs w:val="32"/>
        </w:rPr>
        <w:t>0.96</w:t>
      </w:r>
      <w:r>
        <w:rPr>
          <w:rStyle w:val="a8"/>
          <w:rFonts w:ascii="仿宋" w:eastAsia="仿宋" w:hAnsi="仿宋" w:hint="eastAsia"/>
          <w:b w:val="0"/>
          <w:bCs/>
          <w:sz w:val="32"/>
          <w:szCs w:val="32"/>
        </w:rPr>
        <w:t>万元，完成预算</w:t>
      </w:r>
      <w:r>
        <w:rPr>
          <w:rStyle w:val="a8"/>
          <w:rFonts w:ascii="仿宋" w:eastAsia="仿宋" w:hAnsi="仿宋" w:hint="eastAsia"/>
          <w:b w:val="0"/>
          <w:bCs/>
          <w:sz w:val="32"/>
          <w:szCs w:val="32"/>
        </w:rPr>
        <w:t>100</w:t>
      </w:r>
      <w:r>
        <w:rPr>
          <w:rStyle w:val="a8"/>
          <w:rFonts w:ascii="仿宋" w:eastAsia="仿宋" w:hAnsi="仿宋"/>
          <w:b w:val="0"/>
          <w:bCs/>
          <w:sz w:val="32"/>
          <w:szCs w:val="32"/>
        </w:rPr>
        <w:t>%</w:t>
      </w:r>
      <w:r>
        <w:rPr>
          <w:rStyle w:val="a8"/>
          <w:rFonts w:ascii="仿宋" w:eastAsia="仿宋" w:hAnsi="仿宋" w:hint="eastAsia"/>
          <w:b w:val="0"/>
          <w:bCs/>
          <w:sz w:val="32"/>
          <w:szCs w:val="32"/>
        </w:rPr>
        <w:t>。</w:t>
      </w:r>
    </w:p>
    <w:p w:rsidR="00D56551" w:rsidRDefault="00C732AD">
      <w:pPr>
        <w:spacing w:line="600" w:lineRule="exact"/>
        <w:ind w:firstLineChars="200" w:firstLine="643"/>
        <w:rPr>
          <w:rFonts w:ascii="仿宋" w:eastAsia="仿宋" w:hAnsi="仿宋"/>
          <w:b/>
          <w:sz w:val="32"/>
          <w:szCs w:val="32"/>
        </w:rPr>
      </w:pPr>
      <w:r>
        <w:rPr>
          <w:rStyle w:val="a8"/>
          <w:rFonts w:ascii="仿宋" w:eastAsia="仿宋" w:hAnsi="仿宋" w:hint="eastAsia"/>
          <w:sz w:val="32"/>
          <w:szCs w:val="32"/>
        </w:rPr>
        <w:t>2.</w:t>
      </w:r>
      <w:r>
        <w:rPr>
          <w:rStyle w:val="a8"/>
          <w:rFonts w:ascii="仿宋" w:eastAsia="仿宋" w:hAnsi="仿宋" w:hint="eastAsia"/>
          <w:bCs/>
          <w:sz w:val="32"/>
          <w:szCs w:val="32"/>
        </w:rPr>
        <w:t>教育支出（类）普通教育（款）高等教育（项）</w:t>
      </w:r>
      <w:r>
        <w:rPr>
          <w:rStyle w:val="a8"/>
          <w:rFonts w:ascii="仿宋" w:eastAsia="仿宋" w:hAnsi="仿宋"/>
          <w:bCs/>
          <w:sz w:val="32"/>
          <w:szCs w:val="32"/>
        </w:rPr>
        <w:t>:</w:t>
      </w:r>
      <w:r>
        <w:rPr>
          <w:rStyle w:val="a8"/>
          <w:rFonts w:ascii="仿宋" w:eastAsia="仿宋" w:hAnsi="仿宋" w:hint="eastAsia"/>
          <w:b w:val="0"/>
          <w:bCs/>
          <w:sz w:val="32"/>
          <w:szCs w:val="32"/>
        </w:rPr>
        <w:t>支出决算为</w:t>
      </w:r>
      <w:r>
        <w:rPr>
          <w:rFonts w:ascii="仿宋" w:eastAsia="仿宋" w:hAnsi="仿宋" w:hint="eastAsia"/>
          <w:sz w:val="32"/>
          <w:szCs w:val="32"/>
        </w:rPr>
        <w:t>42174.12</w:t>
      </w:r>
      <w:r>
        <w:rPr>
          <w:rStyle w:val="a8"/>
          <w:rFonts w:ascii="仿宋" w:eastAsia="仿宋" w:hAnsi="仿宋" w:hint="eastAsia"/>
          <w:b w:val="0"/>
          <w:bCs/>
          <w:sz w:val="32"/>
          <w:szCs w:val="32"/>
        </w:rPr>
        <w:t>万元，完成预算</w:t>
      </w:r>
      <w:r>
        <w:rPr>
          <w:rStyle w:val="a8"/>
          <w:rFonts w:ascii="仿宋" w:eastAsia="仿宋" w:hAnsi="仿宋" w:hint="eastAsia"/>
          <w:b w:val="0"/>
          <w:bCs/>
          <w:sz w:val="32"/>
          <w:szCs w:val="32"/>
        </w:rPr>
        <w:t>100</w:t>
      </w:r>
      <w:r>
        <w:rPr>
          <w:rStyle w:val="a8"/>
          <w:rFonts w:ascii="仿宋" w:eastAsia="仿宋" w:hAnsi="仿宋"/>
          <w:b w:val="0"/>
          <w:bCs/>
          <w:sz w:val="32"/>
          <w:szCs w:val="32"/>
        </w:rPr>
        <w:t>%</w:t>
      </w:r>
      <w:r>
        <w:rPr>
          <w:rStyle w:val="a8"/>
          <w:rFonts w:ascii="仿宋" w:eastAsia="仿宋" w:hAnsi="仿宋" w:hint="eastAsia"/>
          <w:b w:val="0"/>
          <w:bCs/>
          <w:sz w:val="32"/>
          <w:szCs w:val="32"/>
        </w:rPr>
        <w:t>。</w:t>
      </w:r>
    </w:p>
    <w:p w:rsidR="00D56551" w:rsidRDefault="00C732AD">
      <w:pPr>
        <w:spacing w:line="600" w:lineRule="exact"/>
        <w:ind w:firstLineChars="200" w:firstLine="643"/>
        <w:rPr>
          <w:rStyle w:val="a8"/>
          <w:rFonts w:ascii="仿宋" w:eastAsia="仿宋" w:hAnsi="仿宋"/>
          <w:b w:val="0"/>
          <w:bCs/>
          <w:sz w:val="32"/>
          <w:szCs w:val="32"/>
        </w:rPr>
      </w:pPr>
      <w:r>
        <w:rPr>
          <w:rStyle w:val="a8"/>
          <w:rFonts w:ascii="仿宋" w:eastAsia="仿宋" w:hAnsi="仿宋" w:hint="eastAsia"/>
          <w:bCs/>
          <w:sz w:val="32"/>
          <w:szCs w:val="32"/>
        </w:rPr>
        <w:t>3</w:t>
      </w:r>
      <w:r>
        <w:rPr>
          <w:rStyle w:val="a8"/>
          <w:rFonts w:ascii="仿宋" w:eastAsia="仿宋" w:hAnsi="仿宋"/>
          <w:bCs/>
          <w:sz w:val="32"/>
          <w:szCs w:val="32"/>
        </w:rPr>
        <w:t>.</w:t>
      </w:r>
      <w:r>
        <w:rPr>
          <w:rStyle w:val="a8"/>
          <w:rFonts w:ascii="仿宋" w:eastAsia="仿宋" w:hAnsi="仿宋" w:hint="eastAsia"/>
          <w:bCs/>
          <w:sz w:val="32"/>
          <w:szCs w:val="32"/>
        </w:rPr>
        <w:t>科学技术（类）基础研究（款）专项基础科研（项）</w:t>
      </w:r>
      <w:r>
        <w:rPr>
          <w:rStyle w:val="a8"/>
          <w:rFonts w:ascii="仿宋" w:eastAsia="仿宋" w:hAnsi="仿宋"/>
          <w:bCs/>
          <w:sz w:val="32"/>
          <w:szCs w:val="32"/>
        </w:rPr>
        <w:t>:</w:t>
      </w:r>
      <w:r>
        <w:rPr>
          <w:rStyle w:val="a8"/>
          <w:rFonts w:ascii="仿宋" w:eastAsia="仿宋" w:hAnsi="仿宋" w:hint="eastAsia"/>
          <w:b w:val="0"/>
          <w:bCs/>
          <w:sz w:val="32"/>
          <w:szCs w:val="32"/>
        </w:rPr>
        <w:t>支出决算为</w:t>
      </w:r>
      <w:r>
        <w:rPr>
          <w:rStyle w:val="a8"/>
          <w:rFonts w:ascii="仿宋" w:eastAsia="仿宋" w:hAnsi="仿宋" w:hint="eastAsia"/>
          <w:b w:val="0"/>
          <w:bCs/>
          <w:sz w:val="32"/>
          <w:szCs w:val="32"/>
        </w:rPr>
        <w:t>60.77</w:t>
      </w:r>
      <w:r>
        <w:rPr>
          <w:rStyle w:val="a8"/>
          <w:rFonts w:ascii="仿宋" w:eastAsia="仿宋" w:hAnsi="仿宋" w:hint="eastAsia"/>
          <w:b w:val="0"/>
          <w:bCs/>
          <w:sz w:val="32"/>
          <w:szCs w:val="32"/>
        </w:rPr>
        <w:t>万元，完成预算</w:t>
      </w:r>
      <w:r>
        <w:rPr>
          <w:rStyle w:val="a8"/>
          <w:rFonts w:ascii="仿宋" w:eastAsia="仿宋" w:hAnsi="仿宋" w:hint="eastAsia"/>
          <w:b w:val="0"/>
          <w:bCs/>
          <w:sz w:val="32"/>
          <w:szCs w:val="32"/>
        </w:rPr>
        <w:t>100%</w:t>
      </w:r>
      <w:r>
        <w:rPr>
          <w:rStyle w:val="a8"/>
          <w:rFonts w:ascii="仿宋" w:eastAsia="仿宋" w:hAnsi="仿宋" w:hint="eastAsia"/>
          <w:b w:val="0"/>
          <w:bCs/>
          <w:sz w:val="32"/>
          <w:szCs w:val="32"/>
        </w:rPr>
        <w:t>；</w:t>
      </w:r>
    </w:p>
    <w:p w:rsidR="00D56551" w:rsidRDefault="00C732AD">
      <w:pPr>
        <w:spacing w:line="600" w:lineRule="exact"/>
        <w:ind w:firstLineChars="300" w:firstLine="964"/>
        <w:rPr>
          <w:rStyle w:val="a8"/>
          <w:rFonts w:ascii="仿宋" w:eastAsia="仿宋" w:hAnsi="仿宋"/>
          <w:b w:val="0"/>
          <w:bCs/>
          <w:sz w:val="32"/>
          <w:szCs w:val="32"/>
        </w:rPr>
      </w:pPr>
      <w:r>
        <w:rPr>
          <w:rStyle w:val="a8"/>
          <w:rFonts w:ascii="仿宋" w:eastAsia="仿宋" w:hAnsi="仿宋" w:hint="eastAsia"/>
          <w:bCs/>
          <w:sz w:val="32"/>
          <w:szCs w:val="32"/>
        </w:rPr>
        <w:lastRenderedPageBreak/>
        <w:t>科学技术（类）科技重大项目（款）</w:t>
      </w:r>
      <w:r>
        <w:rPr>
          <w:rStyle w:val="a8"/>
          <w:rFonts w:ascii="仿宋" w:eastAsia="仿宋" w:hAnsi="仿宋" w:hint="eastAsia"/>
          <w:bCs/>
          <w:sz w:val="32"/>
          <w:szCs w:val="32"/>
        </w:rPr>
        <w:t xml:space="preserve"> </w:t>
      </w:r>
      <w:r>
        <w:rPr>
          <w:rStyle w:val="a8"/>
          <w:rFonts w:ascii="仿宋" w:eastAsia="仿宋" w:hAnsi="仿宋" w:hint="eastAsia"/>
          <w:bCs/>
          <w:sz w:val="32"/>
          <w:szCs w:val="32"/>
        </w:rPr>
        <w:t>重点研发计划（项）：</w:t>
      </w:r>
      <w:r>
        <w:rPr>
          <w:rStyle w:val="a8"/>
          <w:rFonts w:ascii="仿宋" w:eastAsia="仿宋" w:hAnsi="仿宋" w:hint="eastAsia"/>
          <w:b w:val="0"/>
          <w:bCs/>
          <w:sz w:val="32"/>
          <w:szCs w:val="32"/>
        </w:rPr>
        <w:t>支出决算为</w:t>
      </w:r>
      <w:r>
        <w:rPr>
          <w:rStyle w:val="a8"/>
          <w:rFonts w:ascii="仿宋" w:eastAsia="仿宋" w:hAnsi="仿宋" w:cstheme="minorBidi" w:hint="eastAsia"/>
          <w:b w:val="0"/>
          <w:bCs/>
          <w:sz w:val="32"/>
          <w:szCs w:val="32"/>
        </w:rPr>
        <w:t>7.18</w:t>
      </w:r>
      <w:r>
        <w:rPr>
          <w:rStyle w:val="a8"/>
          <w:rFonts w:ascii="仿宋" w:eastAsia="仿宋" w:hAnsi="仿宋" w:cstheme="minorBidi" w:hint="eastAsia"/>
          <w:b w:val="0"/>
          <w:bCs/>
          <w:sz w:val="32"/>
          <w:szCs w:val="32"/>
        </w:rPr>
        <w:t>万元，</w:t>
      </w:r>
      <w:r>
        <w:rPr>
          <w:rStyle w:val="a8"/>
          <w:rFonts w:ascii="仿宋" w:eastAsia="仿宋" w:hAnsi="仿宋" w:hint="eastAsia"/>
          <w:b w:val="0"/>
          <w:bCs/>
          <w:sz w:val="32"/>
          <w:szCs w:val="32"/>
        </w:rPr>
        <w:t>完成预算</w:t>
      </w:r>
      <w:r>
        <w:rPr>
          <w:rStyle w:val="a8"/>
          <w:rFonts w:ascii="仿宋" w:eastAsia="仿宋" w:hAnsi="仿宋" w:hint="eastAsia"/>
          <w:b w:val="0"/>
          <w:bCs/>
          <w:sz w:val="32"/>
          <w:szCs w:val="32"/>
        </w:rPr>
        <w:t>100%</w:t>
      </w:r>
      <w:r>
        <w:rPr>
          <w:rStyle w:val="a8"/>
          <w:rFonts w:ascii="仿宋" w:eastAsia="仿宋" w:hAnsi="仿宋" w:hint="eastAsia"/>
          <w:b w:val="0"/>
          <w:bCs/>
          <w:sz w:val="32"/>
          <w:szCs w:val="32"/>
        </w:rPr>
        <w:t>。</w:t>
      </w:r>
    </w:p>
    <w:p w:rsidR="00D56551" w:rsidRDefault="00C732AD">
      <w:pPr>
        <w:spacing w:line="600" w:lineRule="exact"/>
        <w:ind w:firstLineChars="300" w:firstLine="964"/>
      </w:pPr>
      <w:r>
        <w:rPr>
          <w:rStyle w:val="a8"/>
          <w:rFonts w:ascii="仿宋" w:eastAsia="仿宋" w:hAnsi="仿宋" w:hint="eastAsia"/>
          <w:bCs/>
          <w:sz w:val="32"/>
          <w:szCs w:val="32"/>
        </w:rPr>
        <w:t>科学技术（类）其他科学技术支出（款）其他科学技术支出（项）：</w:t>
      </w:r>
      <w:r>
        <w:rPr>
          <w:rStyle w:val="a8"/>
          <w:rFonts w:ascii="仿宋" w:eastAsia="仿宋" w:hAnsi="仿宋" w:hint="eastAsia"/>
          <w:b w:val="0"/>
          <w:bCs/>
          <w:sz w:val="32"/>
          <w:szCs w:val="32"/>
        </w:rPr>
        <w:t>支出决算为</w:t>
      </w:r>
      <w:r>
        <w:rPr>
          <w:rStyle w:val="a8"/>
          <w:rFonts w:ascii="仿宋" w:eastAsia="仿宋" w:hAnsi="仿宋" w:cstheme="minorBidi" w:hint="eastAsia"/>
          <w:b w:val="0"/>
          <w:bCs/>
          <w:sz w:val="32"/>
          <w:szCs w:val="32"/>
        </w:rPr>
        <w:t>103.80</w:t>
      </w:r>
      <w:r>
        <w:rPr>
          <w:rStyle w:val="a8"/>
          <w:rFonts w:ascii="仿宋" w:eastAsia="仿宋" w:hAnsi="仿宋" w:cstheme="minorBidi" w:hint="eastAsia"/>
          <w:b w:val="0"/>
          <w:bCs/>
          <w:sz w:val="32"/>
          <w:szCs w:val="32"/>
        </w:rPr>
        <w:t>万元，</w:t>
      </w:r>
      <w:r>
        <w:rPr>
          <w:rStyle w:val="a8"/>
          <w:rFonts w:ascii="仿宋" w:eastAsia="仿宋" w:hAnsi="仿宋" w:hint="eastAsia"/>
          <w:b w:val="0"/>
          <w:bCs/>
          <w:sz w:val="32"/>
          <w:szCs w:val="32"/>
        </w:rPr>
        <w:t>完成预算</w:t>
      </w:r>
      <w:r>
        <w:rPr>
          <w:rStyle w:val="a8"/>
          <w:rFonts w:ascii="仿宋" w:eastAsia="仿宋" w:hAnsi="仿宋" w:hint="eastAsia"/>
          <w:b w:val="0"/>
          <w:bCs/>
          <w:sz w:val="32"/>
          <w:szCs w:val="32"/>
        </w:rPr>
        <w:t>100%</w:t>
      </w:r>
      <w:r>
        <w:rPr>
          <w:rStyle w:val="a8"/>
          <w:rFonts w:ascii="仿宋" w:eastAsia="仿宋" w:hAnsi="仿宋" w:hint="eastAsia"/>
          <w:b w:val="0"/>
          <w:bCs/>
          <w:sz w:val="32"/>
          <w:szCs w:val="32"/>
        </w:rPr>
        <w:t>。</w:t>
      </w:r>
    </w:p>
    <w:p w:rsidR="00D56551" w:rsidRDefault="00C732AD">
      <w:pPr>
        <w:spacing w:line="600" w:lineRule="exact"/>
        <w:ind w:firstLineChars="200" w:firstLine="643"/>
        <w:rPr>
          <w:rStyle w:val="a8"/>
          <w:rFonts w:ascii="仿宋" w:eastAsia="仿宋" w:hAnsi="仿宋"/>
          <w:b w:val="0"/>
          <w:bCs/>
          <w:sz w:val="32"/>
          <w:szCs w:val="32"/>
        </w:rPr>
      </w:pPr>
      <w:r>
        <w:rPr>
          <w:rStyle w:val="a8"/>
          <w:rFonts w:ascii="仿宋" w:eastAsia="仿宋" w:hAnsi="仿宋" w:hint="eastAsia"/>
          <w:sz w:val="32"/>
          <w:szCs w:val="32"/>
        </w:rPr>
        <w:t>4.</w:t>
      </w:r>
      <w:r>
        <w:rPr>
          <w:rStyle w:val="a8"/>
          <w:rFonts w:ascii="仿宋" w:eastAsia="仿宋" w:hAnsi="仿宋" w:hint="eastAsia"/>
          <w:bCs/>
          <w:sz w:val="32"/>
          <w:szCs w:val="32"/>
        </w:rPr>
        <w:t>社会保障和就业（类</w:t>
      </w:r>
      <w:r>
        <w:rPr>
          <w:rStyle w:val="a8"/>
          <w:rFonts w:ascii="仿宋" w:eastAsia="仿宋" w:hAnsi="仿宋" w:hint="eastAsia"/>
          <w:bCs/>
          <w:sz w:val="32"/>
          <w:szCs w:val="32"/>
        </w:rPr>
        <w:t>）</w:t>
      </w:r>
      <w:r>
        <w:rPr>
          <w:rStyle w:val="a8"/>
          <w:rFonts w:ascii="仿宋" w:eastAsia="仿宋" w:hAnsi="仿宋" w:hint="eastAsia"/>
          <w:bCs/>
          <w:sz w:val="32"/>
          <w:szCs w:val="32"/>
        </w:rPr>
        <w:t>行政事业单位养老支出（款）事业单位离退休（项）</w:t>
      </w:r>
      <w:r>
        <w:rPr>
          <w:rStyle w:val="a8"/>
          <w:rFonts w:ascii="仿宋" w:eastAsia="仿宋" w:hAnsi="仿宋"/>
          <w:bCs/>
          <w:sz w:val="32"/>
          <w:szCs w:val="32"/>
        </w:rPr>
        <w:t>:</w:t>
      </w:r>
      <w:r>
        <w:rPr>
          <w:rStyle w:val="a8"/>
          <w:rFonts w:ascii="仿宋" w:eastAsia="仿宋" w:hAnsi="仿宋" w:hint="eastAsia"/>
          <w:b w:val="0"/>
          <w:bCs/>
          <w:sz w:val="32"/>
          <w:szCs w:val="32"/>
        </w:rPr>
        <w:t>支出决算为</w:t>
      </w:r>
      <w:r>
        <w:rPr>
          <w:rStyle w:val="a8"/>
          <w:rFonts w:ascii="仿宋" w:eastAsia="仿宋" w:hAnsi="仿宋" w:hint="eastAsia"/>
          <w:b w:val="0"/>
          <w:bCs/>
          <w:sz w:val="32"/>
          <w:szCs w:val="32"/>
        </w:rPr>
        <w:t>18.48</w:t>
      </w:r>
      <w:r>
        <w:rPr>
          <w:rStyle w:val="a8"/>
          <w:rFonts w:ascii="仿宋" w:eastAsia="仿宋" w:hAnsi="仿宋" w:hint="eastAsia"/>
          <w:b w:val="0"/>
          <w:bCs/>
          <w:sz w:val="32"/>
          <w:szCs w:val="32"/>
        </w:rPr>
        <w:t>万元，完成预算</w:t>
      </w:r>
      <w:r>
        <w:rPr>
          <w:rStyle w:val="a8"/>
          <w:rFonts w:ascii="仿宋" w:eastAsia="仿宋" w:hAnsi="仿宋" w:hint="eastAsia"/>
          <w:b w:val="0"/>
          <w:bCs/>
          <w:sz w:val="32"/>
          <w:szCs w:val="32"/>
        </w:rPr>
        <w:t>100</w:t>
      </w:r>
      <w:r>
        <w:rPr>
          <w:rStyle w:val="a8"/>
          <w:rFonts w:ascii="仿宋" w:eastAsia="仿宋" w:hAnsi="仿宋"/>
          <w:b w:val="0"/>
          <w:bCs/>
          <w:sz w:val="32"/>
          <w:szCs w:val="32"/>
        </w:rPr>
        <w:t>%</w:t>
      </w:r>
      <w:r>
        <w:rPr>
          <w:rStyle w:val="a8"/>
          <w:rFonts w:ascii="仿宋" w:eastAsia="仿宋" w:hAnsi="仿宋" w:hint="eastAsia"/>
          <w:b w:val="0"/>
          <w:bCs/>
          <w:sz w:val="32"/>
          <w:szCs w:val="32"/>
        </w:rPr>
        <w:t>。</w:t>
      </w:r>
    </w:p>
    <w:p w:rsidR="00D56551" w:rsidRDefault="00C732AD">
      <w:pPr>
        <w:spacing w:line="600" w:lineRule="exact"/>
        <w:ind w:firstLineChars="200" w:firstLine="643"/>
        <w:rPr>
          <w:rStyle w:val="a8"/>
          <w:rFonts w:ascii="仿宋" w:eastAsia="仿宋" w:hAnsi="仿宋"/>
          <w:b w:val="0"/>
          <w:bCs/>
          <w:sz w:val="32"/>
          <w:szCs w:val="32"/>
        </w:rPr>
      </w:pPr>
      <w:r>
        <w:rPr>
          <w:rStyle w:val="a8"/>
          <w:rFonts w:ascii="仿宋" w:eastAsia="仿宋" w:hAnsi="仿宋" w:hint="eastAsia"/>
          <w:bCs/>
          <w:sz w:val="32"/>
          <w:szCs w:val="32"/>
        </w:rPr>
        <w:t>5</w:t>
      </w:r>
      <w:r>
        <w:rPr>
          <w:rStyle w:val="a8"/>
          <w:rFonts w:ascii="仿宋" w:eastAsia="仿宋" w:hAnsi="仿宋"/>
          <w:bCs/>
          <w:sz w:val="32"/>
          <w:szCs w:val="32"/>
        </w:rPr>
        <w:t>.</w:t>
      </w:r>
      <w:r>
        <w:rPr>
          <w:rFonts w:ascii="仿宋" w:eastAsia="仿宋" w:hAnsi="仿宋" w:hint="eastAsia"/>
          <w:b/>
          <w:bCs/>
          <w:sz w:val="32"/>
          <w:szCs w:val="32"/>
        </w:rPr>
        <w:t>卫生健康</w:t>
      </w:r>
      <w:r>
        <w:rPr>
          <w:rStyle w:val="a8"/>
          <w:rFonts w:ascii="仿宋" w:eastAsia="仿宋" w:hAnsi="仿宋" w:hint="eastAsia"/>
          <w:bCs/>
          <w:sz w:val="32"/>
          <w:szCs w:val="32"/>
        </w:rPr>
        <w:t>（类）公共卫生（款）基本公共卫生服务（项）</w:t>
      </w:r>
      <w:r>
        <w:rPr>
          <w:rStyle w:val="a8"/>
          <w:rFonts w:ascii="仿宋" w:eastAsia="仿宋" w:hAnsi="仿宋"/>
          <w:bCs/>
          <w:sz w:val="32"/>
          <w:szCs w:val="32"/>
        </w:rPr>
        <w:t>:</w:t>
      </w:r>
      <w:r>
        <w:rPr>
          <w:rStyle w:val="a8"/>
          <w:rFonts w:ascii="仿宋" w:eastAsia="仿宋" w:hAnsi="仿宋" w:hint="eastAsia"/>
          <w:b w:val="0"/>
          <w:bCs/>
          <w:sz w:val="32"/>
          <w:szCs w:val="32"/>
        </w:rPr>
        <w:t>支出决算为</w:t>
      </w:r>
      <w:r>
        <w:rPr>
          <w:rStyle w:val="a8"/>
          <w:rFonts w:ascii="仿宋" w:eastAsia="仿宋" w:hAnsi="仿宋" w:hint="eastAsia"/>
          <w:b w:val="0"/>
          <w:bCs/>
          <w:sz w:val="32"/>
          <w:szCs w:val="32"/>
        </w:rPr>
        <w:t>29.00</w:t>
      </w:r>
      <w:r>
        <w:rPr>
          <w:rStyle w:val="a8"/>
          <w:rFonts w:ascii="仿宋" w:eastAsia="仿宋" w:hAnsi="仿宋" w:hint="eastAsia"/>
          <w:b w:val="0"/>
          <w:bCs/>
          <w:sz w:val="32"/>
          <w:szCs w:val="32"/>
        </w:rPr>
        <w:t>万元，完成预算</w:t>
      </w:r>
      <w:r>
        <w:rPr>
          <w:rStyle w:val="a8"/>
          <w:rFonts w:ascii="仿宋" w:eastAsia="仿宋" w:hAnsi="仿宋" w:hint="eastAsia"/>
          <w:b w:val="0"/>
          <w:bCs/>
          <w:sz w:val="32"/>
          <w:szCs w:val="32"/>
        </w:rPr>
        <w:t>100</w:t>
      </w:r>
      <w:r>
        <w:rPr>
          <w:rStyle w:val="a8"/>
          <w:rFonts w:ascii="仿宋" w:eastAsia="仿宋" w:hAnsi="仿宋"/>
          <w:b w:val="0"/>
          <w:bCs/>
          <w:sz w:val="32"/>
          <w:szCs w:val="32"/>
        </w:rPr>
        <w:t>%</w:t>
      </w:r>
      <w:r>
        <w:rPr>
          <w:rStyle w:val="a8"/>
          <w:rFonts w:ascii="仿宋" w:eastAsia="仿宋" w:hAnsi="仿宋" w:hint="eastAsia"/>
          <w:b w:val="0"/>
          <w:bCs/>
          <w:sz w:val="32"/>
          <w:szCs w:val="32"/>
        </w:rPr>
        <w:t>。</w:t>
      </w:r>
    </w:p>
    <w:p w:rsidR="00D56551" w:rsidRDefault="00C732AD">
      <w:pPr>
        <w:spacing w:line="600" w:lineRule="exact"/>
        <w:ind w:firstLineChars="300" w:firstLine="964"/>
        <w:rPr>
          <w:rStyle w:val="a8"/>
          <w:rFonts w:ascii="仿宋" w:eastAsia="仿宋" w:hAnsi="仿宋"/>
          <w:b w:val="0"/>
          <w:bCs/>
          <w:sz w:val="32"/>
          <w:szCs w:val="32"/>
        </w:rPr>
      </w:pPr>
      <w:r>
        <w:rPr>
          <w:rFonts w:ascii="仿宋" w:eastAsia="仿宋" w:hAnsi="仿宋" w:hint="eastAsia"/>
          <w:b/>
          <w:bCs/>
          <w:sz w:val="32"/>
          <w:szCs w:val="32"/>
        </w:rPr>
        <w:t>卫生健康</w:t>
      </w:r>
      <w:r>
        <w:rPr>
          <w:rStyle w:val="a8"/>
          <w:rFonts w:ascii="仿宋" w:eastAsia="仿宋" w:hAnsi="仿宋" w:hint="eastAsia"/>
          <w:bCs/>
          <w:sz w:val="32"/>
          <w:szCs w:val="32"/>
        </w:rPr>
        <w:t>（类）中医（民族医）药专项（款）中医（民族医）药专项（项）</w:t>
      </w:r>
      <w:r>
        <w:rPr>
          <w:rStyle w:val="a8"/>
          <w:rFonts w:ascii="仿宋" w:eastAsia="仿宋" w:hAnsi="仿宋"/>
          <w:bCs/>
          <w:sz w:val="32"/>
          <w:szCs w:val="32"/>
        </w:rPr>
        <w:t>:</w:t>
      </w:r>
      <w:r>
        <w:rPr>
          <w:rStyle w:val="a8"/>
          <w:rFonts w:ascii="仿宋" w:eastAsia="仿宋" w:hAnsi="仿宋" w:hint="eastAsia"/>
          <w:b w:val="0"/>
          <w:bCs/>
          <w:sz w:val="32"/>
          <w:szCs w:val="32"/>
        </w:rPr>
        <w:t>支出决算为</w:t>
      </w:r>
      <w:r>
        <w:rPr>
          <w:rStyle w:val="a8"/>
          <w:rFonts w:ascii="仿宋" w:eastAsia="仿宋" w:hAnsi="仿宋" w:hint="eastAsia"/>
          <w:b w:val="0"/>
          <w:bCs/>
          <w:sz w:val="32"/>
          <w:szCs w:val="32"/>
        </w:rPr>
        <w:t>2.82</w:t>
      </w:r>
      <w:r>
        <w:rPr>
          <w:rStyle w:val="a8"/>
          <w:rFonts w:ascii="仿宋" w:eastAsia="仿宋" w:hAnsi="仿宋" w:hint="eastAsia"/>
          <w:b w:val="0"/>
          <w:bCs/>
          <w:sz w:val="32"/>
          <w:szCs w:val="32"/>
        </w:rPr>
        <w:t>万元，完成预算</w:t>
      </w:r>
      <w:r>
        <w:rPr>
          <w:rStyle w:val="a8"/>
          <w:rFonts w:ascii="仿宋" w:eastAsia="仿宋" w:hAnsi="仿宋" w:hint="eastAsia"/>
          <w:b w:val="0"/>
          <w:bCs/>
          <w:sz w:val="32"/>
          <w:szCs w:val="32"/>
        </w:rPr>
        <w:t>100</w:t>
      </w:r>
      <w:r>
        <w:rPr>
          <w:rStyle w:val="a8"/>
          <w:rFonts w:ascii="仿宋" w:eastAsia="仿宋" w:hAnsi="仿宋"/>
          <w:b w:val="0"/>
          <w:bCs/>
          <w:sz w:val="32"/>
          <w:szCs w:val="32"/>
        </w:rPr>
        <w:t>%</w:t>
      </w:r>
      <w:r>
        <w:rPr>
          <w:rStyle w:val="a8"/>
          <w:rFonts w:ascii="仿宋" w:eastAsia="仿宋" w:hAnsi="仿宋" w:hint="eastAsia"/>
          <w:b w:val="0"/>
          <w:bCs/>
          <w:sz w:val="32"/>
          <w:szCs w:val="32"/>
        </w:rPr>
        <w:t>。</w:t>
      </w:r>
    </w:p>
    <w:p w:rsidR="00D56551" w:rsidRDefault="00C732AD" w:rsidP="007A7B68">
      <w:pPr>
        <w:pStyle w:val="a0"/>
        <w:spacing w:before="93"/>
        <w:ind w:firstLineChars="300" w:firstLine="964"/>
      </w:pPr>
      <w:r>
        <w:rPr>
          <w:rFonts w:ascii="仿宋" w:eastAsia="仿宋" w:hAnsi="仿宋" w:hint="eastAsia"/>
          <w:b/>
          <w:bCs/>
          <w:sz w:val="32"/>
          <w:szCs w:val="32"/>
        </w:rPr>
        <w:t>卫生健康</w:t>
      </w:r>
      <w:r>
        <w:rPr>
          <w:rStyle w:val="a8"/>
          <w:rFonts w:ascii="仿宋" w:eastAsia="仿宋" w:hAnsi="仿宋" w:hint="eastAsia"/>
          <w:bCs/>
          <w:sz w:val="32"/>
          <w:szCs w:val="32"/>
        </w:rPr>
        <w:t>（类）其他卫生健康支出（款）其他卫生健康支出（项）</w:t>
      </w:r>
      <w:r>
        <w:rPr>
          <w:rStyle w:val="a8"/>
          <w:rFonts w:ascii="仿宋" w:eastAsia="仿宋" w:hAnsi="仿宋"/>
          <w:bCs/>
          <w:sz w:val="32"/>
          <w:szCs w:val="32"/>
        </w:rPr>
        <w:t>:</w:t>
      </w:r>
      <w:r>
        <w:rPr>
          <w:rStyle w:val="a8"/>
          <w:rFonts w:ascii="仿宋" w:eastAsia="仿宋" w:hAnsi="仿宋" w:hint="eastAsia"/>
          <w:b w:val="0"/>
          <w:bCs/>
          <w:sz w:val="32"/>
          <w:szCs w:val="32"/>
        </w:rPr>
        <w:t>支出决算为</w:t>
      </w:r>
      <w:r>
        <w:rPr>
          <w:rStyle w:val="a8"/>
          <w:rFonts w:ascii="仿宋" w:eastAsia="仿宋" w:hAnsi="仿宋" w:hint="eastAsia"/>
          <w:b w:val="0"/>
          <w:bCs/>
          <w:sz w:val="32"/>
          <w:szCs w:val="32"/>
        </w:rPr>
        <w:t>392.80</w:t>
      </w:r>
      <w:r>
        <w:rPr>
          <w:rStyle w:val="a8"/>
          <w:rFonts w:ascii="仿宋" w:eastAsia="仿宋" w:hAnsi="仿宋" w:hint="eastAsia"/>
          <w:b w:val="0"/>
          <w:bCs/>
          <w:sz w:val="32"/>
          <w:szCs w:val="32"/>
        </w:rPr>
        <w:t>万元，完成预算</w:t>
      </w:r>
      <w:r>
        <w:rPr>
          <w:rStyle w:val="a8"/>
          <w:rFonts w:ascii="仿宋" w:eastAsia="仿宋" w:hAnsi="仿宋" w:hint="eastAsia"/>
          <w:b w:val="0"/>
          <w:bCs/>
          <w:sz w:val="32"/>
          <w:szCs w:val="32"/>
        </w:rPr>
        <w:t>100</w:t>
      </w:r>
      <w:r>
        <w:rPr>
          <w:rStyle w:val="a8"/>
          <w:rFonts w:ascii="仿宋" w:eastAsia="仿宋" w:hAnsi="仿宋"/>
          <w:b w:val="0"/>
          <w:bCs/>
          <w:sz w:val="32"/>
          <w:szCs w:val="32"/>
        </w:rPr>
        <w:t>%</w:t>
      </w:r>
      <w:r>
        <w:rPr>
          <w:rStyle w:val="a8"/>
          <w:rFonts w:ascii="仿宋" w:eastAsia="仿宋" w:hAnsi="仿宋" w:hint="eastAsia"/>
          <w:b w:val="0"/>
          <w:bCs/>
          <w:sz w:val="32"/>
          <w:szCs w:val="32"/>
        </w:rPr>
        <w:t>。</w:t>
      </w:r>
    </w:p>
    <w:p w:rsidR="00D56551" w:rsidRDefault="00C732AD">
      <w:pPr>
        <w:spacing w:line="600" w:lineRule="exact"/>
        <w:ind w:firstLineChars="200" w:firstLine="643"/>
        <w:rPr>
          <w:rFonts w:ascii="仿宋" w:eastAsia="仿宋" w:hAnsi="仿宋"/>
          <w:b/>
          <w:sz w:val="32"/>
          <w:szCs w:val="32"/>
        </w:rPr>
      </w:pPr>
      <w:r>
        <w:rPr>
          <w:rStyle w:val="a8"/>
          <w:rFonts w:ascii="仿宋" w:eastAsia="仿宋" w:hAnsi="仿宋" w:hint="eastAsia"/>
          <w:bCs/>
          <w:sz w:val="32"/>
          <w:szCs w:val="32"/>
        </w:rPr>
        <w:t>5</w:t>
      </w:r>
      <w:r>
        <w:rPr>
          <w:rStyle w:val="a8"/>
          <w:rFonts w:ascii="仿宋" w:eastAsia="仿宋" w:hAnsi="仿宋"/>
          <w:bCs/>
          <w:sz w:val="32"/>
          <w:szCs w:val="32"/>
        </w:rPr>
        <w:t>.</w:t>
      </w:r>
      <w:r>
        <w:rPr>
          <w:rFonts w:ascii="仿宋" w:eastAsia="仿宋" w:hAnsi="仿宋" w:hint="eastAsia"/>
          <w:b/>
          <w:bCs/>
          <w:sz w:val="32"/>
          <w:szCs w:val="32"/>
        </w:rPr>
        <w:t>债务付息支出</w:t>
      </w:r>
      <w:r>
        <w:rPr>
          <w:rStyle w:val="a8"/>
          <w:rFonts w:ascii="仿宋" w:eastAsia="仿宋" w:hAnsi="仿宋" w:hint="eastAsia"/>
          <w:bCs/>
          <w:sz w:val="32"/>
          <w:szCs w:val="32"/>
        </w:rPr>
        <w:t>（类）地方政府一般债务付息支出（款）地方政府其他一般债务付息支出（项）</w:t>
      </w:r>
      <w:r>
        <w:rPr>
          <w:rStyle w:val="a8"/>
          <w:rFonts w:ascii="仿宋" w:eastAsia="仿宋" w:hAnsi="仿宋"/>
          <w:bCs/>
          <w:sz w:val="32"/>
          <w:szCs w:val="32"/>
        </w:rPr>
        <w:t>:</w:t>
      </w:r>
      <w:r>
        <w:rPr>
          <w:rStyle w:val="a8"/>
          <w:rFonts w:ascii="仿宋" w:eastAsia="仿宋" w:hAnsi="仿宋" w:hint="eastAsia"/>
          <w:b w:val="0"/>
          <w:bCs/>
          <w:sz w:val="32"/>
          <w:szCs w:val="32"/>
        </w:rPr>
        <w:t>支出决算为</w:t>
      </w:r>
      <w:r>
        <w:rPr>
          <w:rStyle w:val="a8"/>
          <w:rFonts w:ascii="仿宋" w:eastAsia="仿宋" w:hAnsi="仿宋" w:hint="eastAsia"/>
          <w:b w:val="0"/>
          <w:bCs/>
          <w:sz w:val="32"/>
          <w:szCs w:val="32"/>
        </w:rPr>
        <w:t>100.00</w:t>
      </w:r>
      <w:r>
        <w:rPr>
          <w:rStyle w:val="a8"/>
          <w:rFonts w:ascii="仿宋" w:eastAsia="仿宋" w:hAnsi="仿宋" w:hint="eastAsia"/>
          <w:b w:val="0"/>
          <w:bCs/>
          <w:sz w:val="32"/>
          <w:szCs w:val="32"/>
        </w:rPr>
        <w:t>万元，完成预算</w:t>
      </w:r>
      <w:r>
        <w:rPr>
          <w:rStyle w:val="a8"/>
          <w:rFonts w:ascii="仿宋" w:eastAsia="仿宋" w:hAnsi="仿宋" w:hint="eastAsia"/>
          <w:b w:val="0"/>
          <w:bCs/>
          <w:sz w:val="32"/>
          <w:szCs w:val="32"/>
        </w:rPr>
        <w:t>100</w:t>
      </w:r>
      <w:r>
        <w:rPr>
          <w:rStyle w:val="a8"/>
          <w:rFonts w:ascii="仿宋" w:eastAsia="仿宋" w:hAnsi="仿宋"/>
          <w:b w:val="0"/>
          <w:bCs/>
          <w:sz w:val="32"/>
          <w:szCs w:val="32"/>
        </w:rPr>
        <w:t>%</w:t>
      </w:r>
      <w:r>
        <w:rPr>
          <w:rStyle w:val="a8"/>
          <w:rFonts w:ascii="仿宋" w:eastAsia="仿宋" w:hAnsi="仿宋" w:hint="eastAsia"/>
          <w:b w:val="0"/>
          <w:bCs/>
          <w:sz w:val="32"/>
          <w:szCs w:val="32"/>
        </w:rPr>
        <w:t>。</w:t>
      </w:r>
    </w:p>
    <w:p w:rsidR="00D56551" w:rsidRDefault="00D56551">
      <w:pPr>
        <w:tabs>
          <w:tab w:val="right" w:pos="8306"/>
        </w:tabs>
        <w:spacing w:line="600" w:lineRule="exact"/>
        <w:ind w:firstLine="640"/>
        <w:outlineLvl w:val="1"/>
        <w:rPr>
          <w:rFonts w:ascii="黑体" w:eastAsia="黑体"/>
          <w:sz w:val="32"/>
          <w:szCs w:val="32"/>
        </w:rPr>
      </w:pPr>
      <w:bookmarkStart w:id="34" w:name="_Toc15396608"/>
      <w:bookmarkStart w:id="35" w:name="_Toc15377214"/>
    </w:p>
    <w:p w:rsidR="00D56551" w:rsidRDefault="00C732AD">
      <w:pPr>
        <w:tabs>
          <w:tab w:val="right" w:pos="8306"/>
        </w:tabs>
        <w:spacing w:line="600" w:lineRule="exact"/>
        <w:ind w:firstLine="640"/>
        <w:outlineLvl w:val="1"/>
        <w:rPr>
          <w:rStyle w:val="2Char"/>
        </w:rPr>
      </w:pPr>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34"/>
      <w:bookmarkEnd w:id="35"/>
      <w:r>
        <w:rPr>
          <w:rStyle w:val="2Char"/>
          <w:rFonts w:ascii="黑体" w:eastAsia="黑体" w:hAnsi="黑体"/>
          <w:b w:val="0"/>
        </w:rPr>
        <w:tab/>
      </w:r>
    </w:p>
    <w:p w:rsidR="00D56551" w:rsidRDefault="00C732AD">
      <w:pPr>
        <w:spacing w:line="600" w:lineRule="exact"/>
        <w:ind w:firstLine="645"/>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w:t>
      </w:r>
      <w:r>
        <w:rPr>
          <w:rFonts w:ascii="仿宋" w:eastAsia="仿宋" w:hAnsi="仿宋" w:hint="eastAsia"/>
          <w:sz w:val="32"/>
          <w:szCs w:val="32"/>
        </w:rPr>
        <w:t>年一般公共预算财政拨款基本支出</w:t>
      </w:r>
      <w:r>
        <w:rPr>
          <w:rFonts w:ascii="仿宋" w:eastAsia="仿宋" w:hAnsi="仿宋" w:hint="eastAsia"/>
          <w:sz w:val="32"/>
          <w:szCs w:val="32"/>
        </w:rPr>
        <w:t>25458.99</w:t>
      </w:r>
      <w:r>
        <w:rPr>
          <w:rFonts w:ascii="仿宋" w:eastAsia="仿宋" w:hAnsi="仿宋" w:hint="eastAsia"/>
          <w:sz w:val="32"/>
          <w:szCs w:val="32"/>
        </w:rPr>
        <w:t>万元，其中：</w:t>
      </w:r>
    </w:p>
    <w:p w:rsidR="00D56551" w:rsidRDefault="00C732AD">
      <w:pPr>
        <w:spacing w:line="600" w:lineRule="exact"/>
        <w:ind w:firstLine="645"/>
        <w:rPr>
          <w:rFonts w:ascii="仿宋" w:eastAsia="仿宋" w:hAnsi="仿宋"/>
          <w:sz w:val="32"/>
          <w:szCs w:val="32"/>
        </w:rPr>
      </w:pPr>
      <w:r>
        <w:rPr>
          <w:rFonts w:ascii="仿宋" w:eastAsia="仿宋" w:hAnsi="仿宋" w:hint="eastAsia"/>
          <w:sz w:val="32"/>
          <w:szCs w:val="32"/>
        </w:rPr>
        <w:t>人员经费</w:t>
      </w:r>
      <w:r>
        <w:rPr>
          <w:rFonts w:ascii="仿宋" w:eastAsia="仿宋" w:hAnsi="仿宋" w:hint="eastAsia"/>
          <w:sz w:val="32"/>
          <w:szCs w:val="32"/>
        </w:rPr>
        <w:t>20188.81</w:t>
      </w:r>
      <w:r>
        <w:rPr>
          <w:rFonts w:ascii="仿宋" w:eastAsia="仿宋" w:hAnsi="仿宋" w:hint="eastAsia"/>
          <w:sz w:val="32"/>
          <w:szCs w:val="32"/>
        </w:rPr>
        <w:t>万元，主要包括：基本工资</w:t>
      </w:r>
      <w:r>
        <w:rPr>
          <w:rFonts w:ascii="仿宋" w:eastAsia="仿宋" w:hAnsi="仿宋" w:hint="eastAsia"/>
          <w:sz w:val="32"/>
          <w:szCs w:val="32"/>
        </w:rPr>
        <w:t>4500</w:t>
      </w:r>
      <w:r>
        <w:rPr>
          <w:rFonts w:ascii="仿宋" w:eastAsia="仿宋" w:hAnsi="仿宋" w:hint="eastAsia"/>
          <w:sz w:val="32"/>
          <w:szCs w:val="32"/>
        </w:rPr>
        <w:t>万元</w:t>
      </w:r>
      <w:r>
        <w:rPr>
          <w:rFonts w:ascii="仿宋" w:eastAsia="仿宋" w:hAnsi="仿宋" w:hint="eastAsia"/>
          <w:sz w:val="32"/>
          <w:szCs w:val="32"/>
        </w:rPr>
        <w:t>、津贴补贴</w:t>
      </w:r>
      <w:r>
        <w:rPr>
          <w:rFonts w:ascii="仿宋" w:eastAsia="仿宋" w:hAnsi="仿宋" w:hint="eastAsia"/>
          <w:sz w:val="32"/>
          <w:szCs w:val="32"/>
        </w:rPr>
        <w:t>100</w:t>
      </w:r>
      <w:r>
        <w:rPr>
          <w:rFonts w:ascii="仿宋" w:eastAsia="仿宋" w:hAnsi="仿宋" w:hint="eastAsia"/>
          <w:sz w:val="32"/>
          <w:szCs w:val="32"/>
        </w:rPr>
        <w:t>万元</w:t>
      </w:r>
      <w:r>
        <w:rPr>
          <w:rFonts w:ascii="仿宋" w:eastAsia="仿宋" w:hAnsi="仿宋" w:hint="eastAsia"/>
          <w:sz w:val="32"/>
          <w:szCs w:val="32"/>
        </w:rPr>
        <w:t>、绩效工资</w:t>
      </w:r>
      <w:r>
        <w:rPr>
          <w:rFonts w:ascii="仿宋" w:eastAsia="仿宋" w:hAnsi="仿宋" w:hint="eastAsia"/>
          <w:sz w:val="32"/>
          <w:szCs w:val="32"/>
        </w:rPr>
        <w:t>6777</w:t>
      </w:r>
      <w:r>
        <w:rPr>
          <w:rFonts w:ascii="仿宋" w:eastAsia="仿宋" w:hAnsi="仿宋" w:hint="eastAsia"/>
          <w:sz w:val="32"/>
          <w:szCs w:val="32"/>
        </w:rPr>
        <w:t>万元</w:t>
      </w:r>
      <w:r>
        <w:rPr>
          <w:rFonts w:ascii="仿宋" w:eastAsia="仿宋" w:hAnsi="仿宋" w:hint="eastAsia"/>
          <w:sz w:val="32"/>
          <w:szCs w:val="32"/>
        </w:rPr>
        <w:t>、机关事业单位基本养老保险缴费</w:t>
      </w:r>
      <w:r>
        <w:rPr>
          <w:rFonts w:ascii="仿宋" w:eastAsia="仿宋" w:hAnsi="仿宋" w:hint="eastAsia"/>
          <w:sz w:val="32"/>
          <w:szCs w:val="32"/>
        </w:rPr>
        <w:t>1700</w:t>
      </w:r>
      <w:r>
        <w:rPr>
          <w:rFonts w:ascii="仿宋" w:eastAsia="仿宋" w:hAnsi="仿宋" w:hint="eastAsia"/>
          <w:sz w:val="32"/>
          <w:szCs w:val="32"/>
        </w:rPr>
        <w:t>万元</w:t>
      </w:r>
      <w:r>
        <w:rPr>
          <w:rFonts w:ascii="仿宋" w:eastAsia="仿宋" w:hAnsi="仿宋" w:hint="eastAsia"/>
          <w:sz w:val="32"/>
          <w:szCs w:val="32"/>
        </w:rPr>
        <w:t>、职业年金缴费</w:t>
      </w:r>
      <w:r>
        <w:rPr>
          <w:rFonts w:ascii="仿宋" w:eastAsia="仿宋" w:hAnsi="仿宋" w:hint="eastAsia"/>
          <w:sz w:val="32"/>
          <w:szCs w:val="32"/>
        </w:rPr>
        <w:t>850</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lastRenderedPageBreak/>
        <w:t>职工基本医疗保险缴费</w:t>
      </w:r>
      <w:r>
        <w:rPr>
          <w:rFonts w:ascii="仿宋" w:eastAsia="仿宋" w:hAnsi="仿宋" w:hint="eastAsia"/>
          <w:sz w:val="32"/>
          <w:szCs w:val="32"/>
        </w:rPr>
        <w:t>1200</w:t>
      </w:r>
      <w:r>
        <w:rPr>
          <w:rFonts w:ascii="仿宋" w:eastAsia="仿宋" w:hAnsi="仿宋" w:hint="eastAsia"/>
          <w:sz w:val="32"/>
          <w:szCs w:val="32"/>
        </w:rPr>
        <w:t>万元</w:t>
      </w:r>
      <w:r>
        <w:rPr>
          <w:rFonts w:ascii="仿宋" w:eastAsia="仿宋" w:hAnsi="仿宋" w:hint="eastAsia"/>
          <w:sz w:val="32"/>
          <w:szCs w:val="32"/>
        </w:rPr>
        <w:t>、其他社会保障缴费</w:t>
      </w:r>
      <w:r>
        <w:rPr>
          <w:rFonts w:ascii="仿宋" w:eastAsia="仿宋" w:hAnsi="仿宋" w:hint="eastAsia"/>
          <w:sz w:val="32"/>
          <w:szCs w:val="32"/>
        </w:rPr>
        <w:t>300</w:t>
      </w:r>
      <w:r>
        <w:rPr>
          <w:rFonts w:ascii="仿宋" w:eastAsia="仿宋" w:hAnsi="仿宋" w:hint="eastAsia"/>
          <w:sz w:val="32"/>
          <w:szCs w:val="32"/>
        </w:rPr>
        <w:t>万元、住房公积金</w:t>
      </w:r>
      <w:r>
        <w:rPr>
          <w:rFonts w:ascii="仿宋" w:eastAsia="仿宋" w:hAnsi="仿宋" w:hint="eastAsia"/>
          <w:sz w:val="32"/>
          <w:szCs w:val="32"/>
        </w:rPr>
        <w:t>1800</w:t>
      </w:r>
      <w:r>
        <w:rPr>
          <w:rFonts w:ascii="仿宋" w:eastAsia="仿宋" w:hAnsi="仿宋" w:hint="eastAsia"/>
          <w:sz w:val="32"/>
          <w:szCs w:val="32"/>
        </w:rPr>
        <w:t>万元、其他工资福利支出</w:t>
      </w:r>
      <w:r>
        <w:rPr>
          <w:rFonts w:ascii="仿宋" w:eastAsia="仿宋" w:hAnsi="仿宋" w:hint="eastAsia"/>
          <w:sz w:val="32"/>
          <w:szCs w:val="32"/>
        </w:rPr>
        <w:t>2000</w:t>
      </w:r>
      <w:r>
        <w:rPr>
          <w:rFonts w:ascii="仿宋" w:eastAsia="仿宋" w:hAnsi="仿宋" w:hint="eastAsia"/>
          <w:sz w:val="32"/>
          <w:szCs w:val="32"/>
        </w:rPr>
        <w:t>万元、</w:t>
      </w:r>
      <w:r>
        <w:rPr>
          <w:rFonts w:ascii="仿宋" w:eastAsia="仿宋" w:hAnsi="仿宋" w:hint="eastAsia"/>
          <w:sz w:val="32"/>
          <w:szCs w:val="32"/>
        </w:rPr>
        <w:t>离休费</w:t>
      </w:r>
      <w:r>
        <w:rPr>
          <w:rFonts w:ascii="仿宋" w:eastAsia="仿宋" w:hAnsi="仿宋" w:hint="eastAsia"/>
          <w:sz w:val="32"/>
          <w:szCs w:val="32"/>
        </w:rPr>
        <w:t>43.33</w:t>
      </w:r>
      <w:r>
        <w:rPr>
          <w:rFonts w:ascii="仿宋" w:eastAsia="仿宋" w:hAnsi="仿宋" w:hint="eastAsia"/>
          <w:sz w:val="32"/>
          <w:szCs w:val="32"/>
        </w:rPr>
        <w:t>万元、</w:t>
      </w:r>
      <w:r>
        <w:rPr>
          <w:rFonts w:ascii="仿宋" w:eastAsia="仿宋" w:hAnsi="仿宋" w:hint="eastAsia"/>
          <w:sz w:val="32"/>
          <w:szCs w:val="32"/>
        </w:rPr>
        <w:t>助学金</w:t>
      </w:r>
      <w:r>
        <w:rPr>
          <w:rFonts w:ascii="仿宋" w:eastAsia="仿宋" w:hAnsi="仿宋" w:hint="eastAsia"/>
          <w:sz w:val="32"/>
          <w:szCs w:val="32"/>
        </w:rPr>
        <w:t>500</w:t>
      </w:r>
      <w:r>
        <w:rPr>
          <w:rFonts w:ascii="仿宋" w:eastAsia="仿宋" w:hAnsi="仿宋" w:hint="eastAsia"/>
          <w:sz w:val="32"/>
          <w:szCs w:val="32"/>
        </w:rPr>
        <w:t>万元、其他对个人和家庭的补助支出</w:t>
      </w:r>
      <w:r>
        <w:rPr>
          <w:rFonts w:ascii="仿宋" w:eastAsia="仿宋" w:hAnsi="仿宋" w:hint="eastAsia"/>
          <w:sz w:val="32"/>
          <w:szCs w:val="32"/>
        </w:rPr>
        <w:t>418.48</w:t>
      </w:r>
      <w:r>
        <w:rPr>
          <w:rFonts w:ascii="仿宋" w:eastAsia="仿宋" w:hAnsi="仿宋" w:hint="eastAsia"/>
          <w:sz w:val="32"/>
          <w:szCs w:val="32"/>
        </w:rPr>
        <w:t>万元。</w:t>
      </w:r>
    </w:p>
    <w:p w:rsidR="00D56551" w:rsidRDefault="00C732AD">
      <w:pPr>
        <w:spacing w:line="600" w:lineRule="exact"/>
        <w:ind w:firstLineChars="200" w:firstLine="640"/>
        <w:rPr>
          <w:rFonts w:ascii="仿宋" w:eastAsia="仿宋" w:hAnsi="仿宋"/>
          <w:sz w:val="32"/>
          <w:szCs w:val="32"/>
        </w:rPr>
      </w:pPr>
      <w:r>
        <w:rPr>
          <w:rFonts w:ascii="仿宋" w:eastAsia="仿宋" w:hAnsi="仿宋" w:hint="eastAsia"/>
          <w:sz w:val="32"/>
          <w:szCs w:val="32"/>
        </w:rPr>
        <w:t>公用经费</w:t>
      </w:r>
      <w:r>
        <w:rPr>
          <w:rFonts w:ascii="仿宋" w:eastAsia="仿宋" w:hAnsi="仿宋" w:hint="eastAsia"/>
          <w:sz w:val="32"/>
          <w:szCs w:val="32"/>
        </w:rPr>
        <w:t>5270.18</w:t>
      </w:r>
      <w:r>
        <w:rPr>
          <w:rFonts w:ascii="仿宋" w:eastAsia="仿宋" w:hAnsi="仿宋" w:hint="eastAsia"/>
          <w:sz w:val="32"/>
          <w:szCs w:val="32"/>
        </w:rPr>
        <w:t>万元，主要包括：办公费</w:t>
      </w:r>
      <w:r>
        <w:rPr>
          <w:rFonts w:ascii="仿宋" w:eastAsia="仿宋" w:hAnsi="仿宋" w:hint="eastAsia"/>
          <w:sz w:val="32"/>
          <w:szCs w:val="32"/>
        </w:rPr>
        <w:t>100</w:t>
      </w:r>
      <w:r>
        <w:rPr>
          <w:rFonts w:ascii="仿宋" w:eastAsia="仿宋" w:hAnsi="仿宋" w:hint="eastAsia"/>
          <w:sz w:val="32"/>
          <w:szCs w:val="32"/>
        </w:rPr>
        <w:t>万元</w:t>
      </w:r>
      <w:r>
        <w:rPr>
          <w:rFonts w:ascii="仿宋" w:eastAsia="仿宋" w:hAnsi="仿宋" w:hint="eastAsia"/>
          <w:sz w:val="32"/>
          <w:szCs w:val="32"/>
        </w:rPr>
        <w:t>、水费</w:t>
      </w:r>
      <w:r>
        <w:rPr>
          <w:rFonts w:ascii="仿宋" w:eastAsia="仿宋" w:hAnsi="仿宋" w:hint="eastAsia"/>
          <w:sz w:val="32"/>
          <w:szCs w:val="32"/>
        </w:rPr>
        <w:t>400</w:t>
      </w:r>
      <w:r>
        <w:rPr>
          <w:rFonts w:ascii="仿宋" w:eastAsia="仿宋" w:hAnsi="仿宋" w:hint="eastAsia"/>
          <w:sz w:val="32"/>
          <w:szCs w:val="32"/>
        </w:rPr>
        <w:t>万元</w:t>
      </w:r>
      <w:r>
        <w:rPr>
          <w:rFonts w:ascii="仿宋" w:eastAsia="仿宋" w:hAnsi="仿宋" w:hint="eastAsia"/>
          <w:sz w:val="32"/>
          <w:szCs w:val="32"/>
        </w:rPr>
        <w:t>、电费</w:t>
      </w:r>
      <w:r>
        <w:rPr>
          <w:rFonts w:ascii="仿宋" w:eastAsia="仿宋" w:hAnsi="仿宋" w:hint="eastAsia"/>
          <w:sz w:val="32"/>
          <w:szCs w:val="32"/>
        </w:rPr>
        <w:t>450</w:t>
      </w:r>
      <w:r>
        <w:rPr>
          <w:rFonts w:ascii="仿宋" w:eastAsia="仿宋" w:hAnsi="仿宋" w:hint="eastAsia"/>
          <w:sz w:val="32"/>
          <w:szCs w:val="32"/>
        </w:rPr>
        <w:t>万元</w:t>
      </w:r>
      <w:r>
        <w:rPr>
          <w:rFonts w:ascii="仿宋" w:eastAsia="仿宋" w:hAnsi="仿宋" w:hint="eastAsia"/>
          <w:sz w:val="32"/>
          <w:szCs w:val="32"/>
        </w:rPr>
        <w:t>、邮电费</w:t>
      </w:r>
      <w:r>
        <w:rPr>
          <w:rFonts w:ascii="仿宋" w:eastAsia="仿宋" w:hAnsi="仿宋" w:hint="eastAsia"/>
          <w:sz w:val="32"/>
          <w:szCs w:val="32"/>
        </w:rPr>
        <w:t>20</w:t>
      </w:r>
      <w:r>
        <w:rPr>
          <w:rFonts w:ascii="仿宋" w:eastAsia="仿宋" w:hAnsi="仿宋" w:hint="eastAsia"/>
          <w:sz w:val="32"/>
          <w:szCs w:val="32"/>
        </w:rPr>
        <w:t>万元</w:t>
      </w:r>
      <w:r>
        <w:rPr>
          <w:rFonts w:ascii="仿宋" w:eastAsia="仿宋" w:hAnsi="仿宋" w:hint="eastAsia"/>
          <w:sz w:val="32"/>
          <w:szCs w:val="32"/>
        </w:rPr>
        <w:t>、物业管理费</w:t>
      </w:r>
      <w:r>
        <w:rPr>
          <w:rFonts w:ascii="仿宋" w:eastAsia="仿宋" w:hAnsi="仿宋" w:hint="eastAsia"/>
          <w:sz w:val="32"/>
          <w:szCs w:val="32"/>
        </w:rPr>
        <w:t>50</w:t>
      </w:r>
      <w:r>
        <w:rPr>
          <w:rFonts w:ascii="仿宋" w:eastAsia="仿宋" w:hAnsi="仿宋" w:hint="eastAsia"/>
          <w:sz w:val="32"/>
          <w:szCs w:val="32"/>
        </w:rPr>
        <w:t>万元</w:t>
      </w:r>
      <w:r>
        <w:rPr>
          <w:rFonts w:ascii="仿宋" w:eastAsia="仿宋" w:hAnsi="仿宋" w:hint="eastAsia"/>
          <w:sz w:val="32"/>
          <w:szCs w:val="32"/>
        </w:rPr>
        <w:t>、差旅费</w:t>
      </w:r>
      <w:r>
        <w:rPr>
          <w:rFonts w:ascii="仿宋" w:eastAsia="仿宋" w:hAnsi="仿宋" w:hint="eastAsia"/>
          <w:sz w:val="32"/>
          <w:szCs w:val="32"/>
        </w:rPr>
        <w:t>100</w:t>
      </w:r>
      <w:r>
        <w:rPr>
          <w:rFonts w:ascii="仿宋" w:eastAsia="仿宋" w:hAnsi="仿宋" w:hint="eastAsia"/>
          <w:sz w:val="32"/>
          <w:szCs w:val="32"/>
        </w:rPr>
        <w:t>万元</w:t>
      </w:r>
      <w:r>
        <w:rPr>
          <w:rFonts w:ascii="仿宋" w:eastAsia="仿宋" w:hAnsi="仿宋" w:hint="eastAsia"/>
          <w:sz w:val="32"/>
          <w:szCs w:val="32"/>
        </w:rPr>
        <w:t>、培训费</w:t>
      </w:r>
      <w:r>
        <w:rPr>
          <w:rFonts w:ascii="仿宋" w:eastAsia="仿宋" w:hAnsi="仿宋" w:hint="eastAsia"/>
          <w:sz w:val="32"/>
          <w:szCs w:val="32"/>
        </w:rPr>
        <w:t>100</w:t>
      </w:r>
      <w:r>
        <w:rPr>
          <w:rFonts w:ascii="仿宋" w:eastAsia="仿宋" w:hAnsi="仿宋" w:hint="eastAsia"/>
          <w:sz w:val="32"/>
          <w:szCs w:val="32"/>
        </w:rPr>
        <w:t>万元</w:t>
      </w:r>
      <w:r>
        <w:rPr>
          <w:rFonts w:ascii="仿宋" w:eastAsia="仿宋" w:hAnsi="仿宋" w:hint="eastAsia"/>
          <w:sz w:val="32"/>
          <w:szCs w:val="32"/>
        </w:rPr>
        <w:t>、劳务费</w:t>
      </w:r>
      <w:r>
        <w:rPr>
          <w:rFonts w:ascii="仿宋" w:eastAsia="仿宋" w:hAnsi="仿宋" w:hint="eastAsia"/>
          <w:sz w:val="32"/>
          <w:szCs w:val="32"/>
        </w:rPr>
        <w:t>700</w:t>
      </w:r>
      <w:r>
        <w:rPr>
          <w:rFonts w:ascii="仿宋" w:eastAsia="仿宋" w:hAnsi="仿宋" w:hint="eastAsia"/>
          <w:sz w:val="32"/>
          <w:szCs w:val="32"/>
        </w:rPr>
        <w:t>万元</w:t>
      </w:r>
      <w:r>
        <w:rPr>
          <w:rFonts w:ascii="仿宋" w:eastAsia="仿宋" w:hAnsi="仿宋" w:hint="eastAsia"/>
          <w:sz w:val="32"/>
          <w:szCs w:val="32"/>
        </w:rPr>
        <w:t>、工会经费</w:t>
      </w:r>
      <w:r>
        <w:rPr>
          <w:rFonts w:ascii="仿宋" w:eastAsia="仿宋" w:hAnsi="仿宋" w:hint="eastAsia"/>
          <w:sz w:val="32"/>
          <w:szCs w:val="32"/>
        </w:rPr>
        <w:t>200</w:t>
      </w:r>
      <w:r>
        <w:rPr>
          <w:rFonts w:ascii="仿宋" w:eastAsia="仿宋" w:hAnsi="仿宋" w:hint="eastAsia"/>
          <w:sz w:val="32"/>
          <w:szCs w:val="32"/>
        </w:rPr>
        <w:t>万元</w:t>
      </w:r>
      <w:r>
        <w:rPr>
          <w:rFonts w:ascii="仿宋" w:eastAsia="仿宋" w:hAnsi="仿宋" w:hint="eastAsia"/>
          <w:sz w:val="32"/>
          <w:szCs w:val="32"/>
        </w:rPr>
        <w:t>、福利费</w:t>
      </w:r>
      <w:r>
        <w:rPr>
          <w:rFonts w:ascii="仿宋" w:eastAsia="仿宋" w:hAnsi="仿宋" w:hint="eastAsia"/>
          <w:sz w:val="32"/>
          <w:szCs w:val="32"/>
        </w:rPr>
        <w:t>120</w:t>
      </w:r>
      <w:r>
        <w:rPr>
          <w:rFonts w:ascii="仿宋" w:eastAsia="仿宋" w:hAnsi="仿宋" w:hint="eastAsia"/>
          <w:sz w:val="32"/>
          <w:szCs w:val="32"/>
        </w:rPr>
        <w:t>万元</w:t>
      </w:r>
      <w:r>
        <w:rPr>
          <w:rFonts w:ascii="仿宋" w:eastAsia="仿宋" w:hAnsi="仿宋" w:hint="eastAsia"/>
          <w:sz w:val="32"/>
          <w:szCs w:val="32"/>
        </w:rPr>
        <w:t>、其他商品和服务支出</w:t>
      </w:r>
      <w:r>
        <w:rPr>
          <w:rFonts w:ascii="仿宋" w:eastAsia="仿宋" w:hAnsi="仿宋" w:hint="eastAsia"/>
          <w:sz w:val="32"/>
          <w:szCs w:val="32"/>
        </w:rPr>
        <w:t>3030.18</w:t>
      </w:r>
      <w:r>
        <w:rPr>
          <w:rFonts w:ascii="仿宋" w:eastAsia="仿宋" w:hAnsi="仿宋" w:hint="eastAsia"/>
          <w:sz w:val="32"/>
          <w:szCs w:val="32"/>
        </w:rPr>
        <w:t>万元。</w:t>
      </w:r>
    </w:p>
    <w:p w:rsidR="00D56551" w:rsidRDefault="00D56551" w:rsidP="007A7B68">
      <w:pPr>
        <w:pStyle w:val="a0"/>
        <w:spacing w:before="93"/>
      </w:pPr>
    </w:p>
    <w:p w:rsidR="00D56551" w:rsidRDefault="00C732AD">
      <w:pPr>
        <w:spacing w:line="600" w:lineRule="exact"/>
        <w:ind w:firstLine="640"/>
        <w:outlineLvl w:val="1"/>
        <w:rPr>
          <w:rStyle w:val="2Char"/>
          <w:rFonts w:ascii="黑体" w:eastAsia="黑体" w:hAnsi="黑体"/>
          <w:b w:val="0"/>
        </w:rPr>
      </w:pPr>
      <w:bookmarkStart w:id="36" w:name="_Toc15377215"/>
      <w:bookmarkStart w:id="37" w:name="_Toc15396609"/>
      <w:r>
        <w:rPr>
          <w:rFonts w:ascii="黑体" w:eastAsia="黑体" w:hint="eastAsia"/>
          <w:sz w:val="32"/>
          <w:szCs w:val="32"/>
        </w:rPr>
        <w:t>七、</w:t>
      </w:r>
      <w:bookmarkEnd w:id="36"/>
      <w:bookmarkEnd w:id="37"/>
      <w:r>
        <w:rPr>
          <w:rStyle w:val="2Char"/>
          <w:rFonts w:ascii="黑体" w:eastAsia="黑体" w:hAnsi="黑体" w:hint="eastAsia"/>
          <w:b w:val="0"/>
        </w:rPr>
        <w:t>财政拨款</w:t>
      </w:r>
      <w:r>
        <w:rPr>
          <w:rStyle w:val="2Char"/>
          <w:rFonts w:ascii="黑体" w:eastAsia="黑体" w:hAnsi="黑体" w:hint="eastAsia"/>
        </w:rPr>
        <w:t>“</w:t>
      </w:r>
      <w:r>
        <w:rPr>
          <w:rStyle w:val="2Char"/>
          <w:rFonts w:ascii="黑体" w:eastAsia="黑体" w:hAnsi="黑体" w:hint="eastAsia"/>
          <w:b w:val="0"/>
        </w:rPr>
        <w:t>三公”经费支出决算情况说明</w:t>
      </w:r>
    </w:p>
    <w:p w:rsidR="00D56551" w:rsidRDefault="00C732AD">
      <w:pPr>
        <w:spacing w:line="600" w:lineRule="exact"/>
        <w:ind w:firstLine="640"/>
        <w:rPr>
          <w:rFonts w:ascii="仿宋" w:eastAsia="仿宋" w:hAnsi="仿宋"/>
          <w:b/>
          <w:sz w:val="32"/>
          <w:szCs w:val="32"/>
        </w:rPr>
      </w:pPr>
      <w:bookmarkStart w:id="38" w:name="_Toc15377216"/>
      <w:r>
        <w:rPr>
          <w:rFonts w:ascii="仿宋" w:eastAsia="仿宋" w:hAnsi="仿宋" w:hint="eastAsia"/>
          <w:b/>
          <w:sz w:val="32"/>
          <w:szCs w:val="32"/>
        </w:rPr>
        <w:t>（一）</w:t>
      </w:r>
      <w:bookmarkEnd w:id="38"/>
      <w:r>
        <w:rPr>
          <w:rFonts w:ascii="仿宋" w:eastAsia="仿宋" w:hAnsi="仿宋" w:hint="eastAsia"/>
          <w:b/>
          <w:sz w:val="32"/>
          <w:szCs w:val="32"/>
        </w:rPr>
        <w:t>“三公”经费财政拨款支出决算总体情况说明</w:t>
      </w:r>
    </w:p>
    <w:p w:rsidR="00D56551" w:rsidRDefault="00C732AD">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w:t>
      </w:r>
      <w:r>
        <w:rPr>
          <w:rFonts w:ascii="仿宋" w:eastAsia="仿宋" w:hAnsi="仿宋" w:hint="eastAsia"/>
          <w:sz w:val="32"/>
          <w:szCs w:val="32"/>
        </w:rPr>
        <w:t>年“三公”经费财政拨款支出决算为</w:t>
      </w:r>
      <w:r>
        <w:rPr>
          <w:rFonts w:ascii="仿宋" w:eastAsia="仿宋" w:hAnsi="仿宋" w:hint="eastAsia"/>
          <w:sz w:val="32"/>
          <w:szCs w:val="32"/>
        </w:rPr>
        <w:t>0</w:t>
      </w:r>
      <w:r>
        <w:rPr>
          <w:rFonts w:ascii="仿宋" w:eastAsia="仿宋" w:hAnsi="仿宋" w:hint="eastAsia"/>
          <w:sz w:val="32"/>
          <w:szCs w:val="32"/>
        </w:rPr>
        <w:t>万元，完成预算</w:t>
      </w:r>
      <w:r>
        <w:rPr>
          <w:rFonts w:ascii="仿宋" w:eastAsia="仿宋" w:hAnsi="仿宋" w:hint="eastAsia"/>
          <w:sz w:val="32"/>
          <w:szCs w:val="32"/>
        </w:rPr>
        <w:t>100</w:t>
      </w:r>
      <w:r>
        <w:rPr>
          <w:rFonts w:ascii="仿宋" w:eastAsia="仿宋" w:hAnsi="仿宋"/>
          <w:sz w:val="32"/>
          <w:szCs w:val="32"/>
        </w:rPr>
        <w:t>%</w:t>
      </w:r>
      <w:r>
        <w:rPr>
          <w:rFonts w:ascii="仿宋" w:eastAsia="仿宋" w:hAnsi="仿宋" w:hint="eastAsia"/>
          <w:sz w:val="32"/>
          <w:szCs w:val="32"/>
        </w:rPr>
        <w:t>。</w:t>
      </w:r>
    </w:p>
    <w:p w:rsidR="00D56551" w:rsidRDefault="00C732AD">
      <w:pPr>
        <w:spacing w:line="600" w:lineRule="exact"/>
        <w:ind w:firstLine="640"/>
        <w:outlineLvl w:val="2"/>
        <w:rPr>
          <w:rFonts w:ascii="仿宋" w:eastAsia="仿宋" w:hAnsi="仿宋"/>
          <w:b/>
          <w:sz w:val="32"/>
          <w:szCs w:val="32"/>
        </w:rPr>
      </w:pPr>
      <w:bookmarkStart w:id="39" w:name="_Toc15377217"/>
      <w:r>
        <w:rPr>
          <w:rFonts w:ascii="仿宋" w:eastAsia="仿宋" w:hAnsi="仿宋" w:hint="eastAsia"/>
          <w:b/>
          <w:sz w:val="32"/>
          <w:szCs w:val="32"/>
        </w:rPr>
        <w:t>（二）“三公”经费财政拨款支出决算具体情况说明</w:t>
      </w:r>
      <w:bookmarkEnd w:id="39"/>
    </w:p>
    <w:p w:rsidR="00D56551" w:rsidRDefault="00C732AD">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w:t>
      </w:r>
      <w:r>
        <w:rPr>
          <w:rFonts w:ascii="仿宋" w:eastAsia="仿宋" w:hAnsi="仿宋" w:hint="eastAsia"/>
          <w:sz w:val="32"/>
          <w:szCs w:val="32"/>
        </w:rPr>
        <w:t>年“三公”经费财政拨款支出决算中，因公出国（境）费支出决算</w:t>
      </w:r>
      <w:r>
        <w:rPr>
          <w:rFonts w:ascii="仿宋" w:eastAsia="仿宋" w:hAnsi="仿宋" w:hint="eastAsia"/>
          <w:sz w:val="32"/>
          <w:szCs w:val="32"/>
        </w:rPr>
        <w:t>0</w:t>
      </w:r>
      <w:r>
        <w:rPr>
          <w:rFonts w:ascii="仿宋" w:eastAsia="仿宋" w:hAnsi="仿宋" w:hint="eastAsia"/>
          <w:sz w:val="32"/>
          <w:szCs w:val="32"/>
        </w:rPr>
        <w:t>万元；公务用车购置及运行维护费支出决算</w:t>
      </w:r>
      <w:r>
        <w:rPr>
          <w:rFonts w:ascii="仿宋" w:eastAsia="仿宋" w:hAnsi="仿宋" w:hint="eastAsia"/>
          <w:sz w:val="32"/>
          <w:szCs w:val="32"/>
        </w:rPr>
        <w:t>0</w:t>
      </w:r>
      <w:r>
        <w:rPr>
          <w:rFonts w:ascii="仿宋" w:eastAsia="仿宋" w:hAnsi="仿宋" w:hint="eastAsia"/>
          <w:sz w:val="32"/>
          <w:szCs w:val="32"/>
        </w:rPr>
        <w:t>万元；公务接待费支出决算</w:t>
      </w:r>
      <w:r>
        <w:rPr>
          <w:rFonts w:ascii="仿宋" w:eastAsia="仿宋" w:hAnsi="仿宋" w:hint="eastAsia"/>
          <w:sz w:val="32"/>
          <w:szCs w:val="32"/>
        </w:rPr>
        <w:t>0</w:t>
      </w:r>
      <w:r>
        <w:rPr>
          <w:rFonts w:ascii="仿宋" w:eastAsia="仿宋" w:hAnsi="仿宋" w:hint="eastAsia"/>
          <w:sz w:val="32"/>
          <w:szCs w:val="32"/>
        </w:rPr>
        <w:t>万元</w:t>
      </w:r>
      <w:r>
        <w:rPr>
          <w:rFonts w:ascii="仿宋" w:eastAsia="仿宋" w:hAnsi="仿宋" w:hint="eastAsia"/>
          <w:sz w:val="32"/>
          <w:szCs w:val="32"/>
        </w:rPr>
        <w:t>。</w:t>
      </w:r>
    </w:p>
    <w:p w:rsidR="00D56551" w:rsidRDefault="00D56551">
      <w:pPr>
        <w:spacing w:line="600" w:lineRule="exact"/>
        <w:ind w:firstLine="640"/>
        <w:outlineLvl w:val="1"/>
        <w:rPr>
          <w:rFonts w:ascii="黑体" w:eastAsia="黑体"/>
          <w:sz w:val="32"/>
          <w:szCs w:val="32"/>
        </w:rPr>
      </w:pPr>
      <w:bookmarkStart w:id="40" w:name="_Toc15396610"/>
      <w:bookmarkStart w:id="41" w:name="_Toc15377218"/>
    </w:p>
    <w:p w:rsidR="00D56551" w:rsidRDefault="00C732AD">
      <w:pPr>
        <w:spacing w:line="600" w:lineRule="exact"/>
        <w:ind w:firstLine="640"/>
        <w:outlineLvl w:val="1"/>
        <w:rPr>
          <w:rStyle w:val="2Char"/>
          <w:rFonts w:ascii="黑体" w:eastAsia="黑体" w:hAnsi="黑体"/>
        </w:rPr>
      </w:pPr>
      <w:r>
        <w:rPr>
          <w:rFonts w:ascii="黑体" w:eastAsia="黑体" w:hint="eastAsia"/>
          <w:sz w:val="32"/>
          <w:szCs w:val="32"/>
        </w:rPr>
        <w:t>八、</w:t>
      </w:r>
      <w:r>
        <w:rPr>
          <w:rStyle w:val="2Char"/>
          <w:rFonts w:ascii="黑体" w:eastAsia="黑体" w:hAnsi="黑体" w:hint="eastAsia"/>
          <w:b w:val="0"/>
        </w:rPr>
        <w:t>政府性基金预算支出决算情况说明</w:t>
      </w:r>
      <w:bookmarkEnd w:id="40"/>
      <w:bookmarkEnd w:id="41"/>
    </w:p>
    <w:p w:rsidR="00D56551" w:rsidRDefault="00C732AD">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w:t>
      </w:r>
      <w:r>
        <w:rPr>
          <w:rFonts w:ascii="仿宋_GB2312" w:eastAsia="仿宋_GB2312" w:hint="eastAsia"/>
          <w:sz w:val="32"/>
          <w:szCs w:val="32"/>
        </w:rPr>
        <w:t>年政府性基金预算</w:t>
      </w:r>
      <w:r>
        <w:rPr>
          <w:rFonts w:ascii="仿宋_GB2312" w:eastAsia="仿宋_GB2312" w:hint="eastAsia"/>
          <w:sz w:val="32"/>
          <w:szCs w:val="32"/>
        </w:rPr>
        <w:t>财政</w:t>
      </w:r>
      <w:r>
        <w:rPr>
          <w:rFonts w:ascii="仿宋_GB2312" w:eastAsia="仿宋_GB2312" w:hint="eastAsia"/>
          <w:sz w:val="32"/>
          <w:szCs w:val="32"/>
        </w:rPr>
        <w:t>拨款支出</w:t>
      </w:r>
      <w:r>
        <w:rPr>
          <w:rFonts w:ascii="仿宋_GB2312" w:eastAsia="仿宋_GB2312" w:hint="eastAsia"/>
          <w:sz w:val="32"/>
          <w:szCs w:val="32"/>
        </w:rPr>
        <w:t>0</w:t>
      </w:r>
      <w:r>
        <w:rPr>
          <w:rFonts w:ascii="仿宋_GB2312" w:eastAsia="仿宋_GB2312" w:hint="eastAsia"/>
          <w:sz w:val="32"/>
          <w:szCs w:val="32"/>
        </w:rPr>
        <w:t>万元。</w:t>
      </w:r>
    </w:p>
    <w:p w:rsidR="00D56551" w:rsidRDefault="00D56551">
      <w:pPr>
        <w:spacing w:line="600" w:lineRule="exact"/>
        <w:ind w:firstLine="640"/>
        <w:rPr>
          <w:rFonts w:ascii="仿宋_GB2312" w:eastAsia="仿宋_GB2312"/>
          <w:sz w:val="32"/>
          <w:szCs w:val="32"/>
        </w:rPr>
      </w:pPr>
    </w:p>
    <w:p w:rsidR="00D56551" w:rsidRDefault="00C732AD">
      <w:pPr>
        <w:numPr>
          <w:ilvl w:val="0"/>
          <w:numId w:val="3"/>
        </w:numPr>
        <w:spacing w:line="600" w:lineRule="exact"/>
        <w:ind w:firstLine="640"/>
        <w:outlineLvl w:val="1"/>
        <w:rPr>
          <w:rStyle w:val="2Char"/>
          <w:rFonts w:ascii="黑体" w:eastAsia="黑体" w:hAnsi="黑体"/>
          <w:b w:val="0"/>
        </w:rPr>
      </w:pPr>
      <w:bookmarkStart w:id="42" w:name="_Toc15377219"/>
      <w:bookmarkStart w:id="43" w:name="_Toc15396611"/>
      <w:r>
        <w:rPr>
          <w:rStyle w:val="2Char"/>
          <w:rFonts w:ascii="黑体" w:eastAsia="黑体" w:hAnsi="黑体" w:hint="eastAsia"/>
          <w:b w:val="0"/>
        </w:rPr>
        <w:t>国有资本经营预算支出决算情况说明</w:t>
      </w:r>
      <w:bookmarkEnd w:id="42"/>
      <w:bookmarkEnd w:id="43"/>
    </w:p>
    <w:p w:rsidR="00D56551" w:rsidRDefault="00C732AD">
      <w:pPr>
        <w:spacing w:line="600" w:lineRule="exact"/>
        <w:ind w:firstLine="640"/>
        <w:rPr>
          <w:rFonts w:ascii="仿宋_GB2312" w:eastAsia="仿宋_GB2312"/>
          <w:sz w:val="32"/>
          <w:szCs w:val="32"/>
        </w:rPr>
      </w:pPr>
      <w:r>
        <w:rPr>
          <w:rFonts w:ascii="仿宋_GB2312" w:eastAsia="仿宋_GB2312"/>
          <w:sz w:val="32"/>
          <w:szCs w:val="32"/>
        </w:rPr>
        <w:lastRenderedPageBreak/>
        <w:t>20</w:t>
      </w:r>
      <w:r>
        <w:rPr>
          <w:rFonts w:ascii="仿宋_GB2312" w:eastAsia="仿宋_GB2312" w:hint="eastAsia"/>
          <w:sz w:val="32"/>
          <w:szCs w:val="32"/>
        </w:rPr>
        <w:t>22</w:t>
      </w:r>
      <w:r>
        <w:rPr>
          <w:rFonts w:ascii="仿宋_GB2312" w:eastAsia="仿宋_GB2312" w:hint="eastAsia"/>
          <w:sz w:val="32"/>
          <w:szCs w:val="32"/>
        </w:rPr>
        <w:t>年国有资本经营预算</w:t>
      </w:r>
      <w:r>
        <w:rPr>
          <w:rFonts w:ascii="仿宋_GB2312" w:eastAsia="仿宋_GB2312" w:hint="eastAsia"/>
          <w:sz w:val="32"/>
          <w:szCs w:val="32"/>
        </w:rPr>
        <w:t>财政</w:t>
      </w:r>
      <w:r>
        <w:rPr>
          <w:rFonts w:ascii="仿宋_GB2312" w:eastAsia="仿宋_GB2312" w:hint="eastAsia"/>
          <w:sz w:val="32"/>
          <w:szCs w:val="32"/>
        </w:rPr>
        <w:t>拨款支出</w:t>
      </w:r>
      <w:r>
        <w:rPr>
          <w:rFonts w:ascii="仿宋_GB2312" w:eastAsia="仿宋_GB2312" w:hint="eastAsia"/>
          <w:sz w:val="32"/>
          <w:szCs w:val="32"/>
        </w:rPr>
        <w:t>0</w:t>
      </w:r>
      <w:r>
        <w:rPr>
          <w:rFonts w:ascii="仿宋_GB2312" w:eastAsia="仿宋_GB2312" w:hint="eastAsia"/>
          <w:sz w:val="32"/>
          <w:szCs w:val="32"/>
        </w:rPr>
        <w:t>万元。</w:t>
      </w:r>
    </w:p>
    <w:p w:rsidR="00D56551" w:rsidRDefault="00D56551">
      <w:pPr>
        <w:spacing w:line="580" w:lineRule="exact"/>
        <w:jc w:val="center"/>
        <w:rPr>
          <w:rFonts w:ascii="方正小标宋简体" w:eastAsia="方正小标宋简体" w:hAnsi="方正小标宋简体" w:cs="方正小标宋简体"/>
          <w:sz w:val="44"/>
          <w:szCs w:val="44"/>
        </w:rPr>
      </w:pPr>
    </w:p>
    <w:p w:rsidR="00D56551" w:rsidRDefault="00C732AD">
      <w:pPr>
        <w:numPr>
          <w:ilvl w:val="0"/>
          <w:numId w:val="3"/>
        </w:numPr>
        <w:spacing w:line="600" w:lineRule="exact"/>
        <w:ind w:firstLine="640"/>
        <w:outlineLvl w:val="1"/>
        <w:rPr>
          <w:rStyle w:val="2Char"/>
          <w:rFonts w:ascii="黑体" w:eastAsia="黑体" w:hAnsi="黑体"/>
          <w:b w:val="0"/>
        </w:rPr>
      </w:pPr>
      <w:bookmarkStart w:id="44" w:name="_Toc15377221"/>
      <w:bookmarkStart w:id="45" w:name="_Toc15396612"/>
      <w:r>
        <w:rPr>
          <w:rStyle w:val="2Char"/>
          <w:rFonts w:ascii="黑体" w:eastAsia="黑体" w:hAnsi="黑体" w:hint="eastAsia"/>
          <w:b w:val="0"/>
        </w:rPr>
        <w:t>其他重要事项的情况说明</w:t>
      </w:r>
      <w:bookmarkEnd w:id="44"/>
      <w:bookmarkEnd w:id="45"/>
    </w:p>
    <w:p w:rsidR="00D56551" w:rsidRDefault="00C732AD">
      <w:pPr>
        <w:spacing w:line="600" w:lineRule="exact"/>
        <w:ind w:firstLineChars="200" w:firstLine="643"/>
        <w:outlineLvl w:val="2"/>
        <w:rPr>
          <w:rFonts w:ascii="仿宋" w:eastAsia="仿宋" w:hAnsi="仿宋"/>
          <w:sz w:val="32"/>
          <w:szCs w:val="32"/>
        </w:rPr>
      </w:pPr>
      <w:bookmarkStart w:id="46" w:name="_Toc15377222"/>
      <w:r>
        <w:rPr>
          <w:rFonts w:ascii="仿宋" w:eastAsia="仿宋" w:hAnsi="仿宋" w:hint="eastAsia"/>
          <w:b/>
          <w:sz w:val="32"/>
          <w:szCs w:val="32"/>
        </w:rPr>
        <w:t>（一）机关运行经费支出情况</w:t>
      </w:r>
      <w:bookmarkEnd w:id="46"/>
    </w:p>
    <w:p w:rsidR="00D56551" w:rsidRDefault="00C732AD">
      <w:pPr>
        <w:spacing w:line="600" w:lineRule="exact"/>
        <w:ind w:firstLineChars="200" w:firstLine="640"/>
        <w:rPr>
          <w:rFonts w:ascii="仿宋" w:eastAsia="仿宋_GB2312" w:hAnsi="仿宋"/>
          <w:b/>
          <w:sz w:val="32"/>
          <w:szCs w:val="32"/>
        </w:rPr>
      </w:pPr>
      <w:r>
        <w:rPr>
          <w:rFonts w:ascii="仿宋_GB2312" w:eastAsia="仿宋_GB2312"/>
          <w:sz w:val="32"/>
          <w:szCs w:val="32"/>
        </w:rPr>
        <w:t>20</w:t>
      </w:r>
      <w:r>
        <w:rPr>
          <w:rFonts w:ascii="仿宋_GB2312" w:eastAsia="仿宋_GB2312" w:hint="eastAsia"/>
          <w:sz w:val="32"/>
          <w:szCs w:val="32"/>
        </w:rPr>
        <w:t>22</w:t>
      </w:r>
      <w:r>
        <w:rPr>
          <w:rFonts w:ascii="仿宋_GB2312" w:eastAsia="仿宋_GB2312" w:hint="eastAsia"/>
          <w:sz w:val="32"/>
          <w:szCs w:val="32"/>
        </w:rPr>
        <w:t>年，机关运行经费支出</w:t>
      </w:r>
      <w:r>
        <w:rPr>
          <w:rFonts w:ascii="仿宋_GB2312" w:eastAsia="仿宋_GB2312" w:hint="eastAsia"/>
          <w:sz w:val="32"/>
          <w:szCs w:val="32"/>
        </w:rPr>
        <w:t>0</w:t>
      </w:r>
      <w:r>
        <w:rPr>
          <w:rFonts w:ascii="仿宋_GB2312" w:eastAsia="仿宋_GB2312" w:hint="eastAsia"/>
          <w:sz w:val="32"/>
          <w:szCs w:val="32"/>
        </w:rPr>
        <w:t>万元，比</w:t>
      </w:r>
      <w:r>
        <w:rPr>
          <w:rFonts w:ascii="仿宋_GB2312" w:eastAsia="仿宋_GB2312"/>
          <w:sz w:val="32"/>
          <w:szCs w:val="32"/>
        </w:rPr>
        <w:t>20</w:t>
      </w:r>
      <w:r>
        <w:rPr>
          <w:rFonts w:ascii="仿宋_GB2312" w:eastAsia="仿宋_GB2312" w:hint="eastAsia"/>
          <w:sz w:val="32"/>
          <w:szCs w:val="32"/>
        </w:rPr>
        <w:t>2</w:t>
      </w:r>
      <w:r w:rsidR="007A7B68">
        <w:rPr>
          <w:rFonts w:ascii="仿宋_GB2312" w:eastAsia="仿宋_GB2312" w:hint="eastAsia"/>
          <w:sz w:val="32"/>
          <w:szCs w:val="32"/>
        </w:rPr>
        <w:t>1</w:t>
      </w:r>
      <w:r>
        <w:rPr>
          <w:rFonts w:ascii="仿宋_GB2312" w:eastAsia="仿宋_GB2312" w:hint="eastAsia"/>
          <w:sz w:val="32"/>
          <w:szCs w:val="32"/>
        </w:rPr>
        <w:t>年相比无增减变动</w:t>
      </w:r>
      <w:r>
        <w:rPr>
          <w:rFonts w:ascii="仿宋_GB2312" w:eastAsia="仿宋_GB2312" w:hint="eastAsia"/>
          <w:sz w:val="32"/>
          <w:szCs w:val="32"/>
        </w:rPr>
        <w:t>。</w:t>
      </w:r>
    </w:p>
    <w:p w:rsidR="00D56551" w:rsidRDefault="00C732AD">
      <w:pPr>
        <w:autoSpaceDE w:val="0"/>
        <w:autoSpaceDN w:val="0"/>
        <w:adjustRightInd w:val="0"/>
        <w:spacing w:line="600" w:lineRule="exact"/>
        <w:ind w:firstLineChars="200" w:firstLine="643"/>
        <w:jc w:val="left"/>
        <w:outlineLvl w:val="2"/>
        <w:rPr>
          <w:rFonts w:ascii="仿宋" w:eastAsia="仿宋" w:hAnsi="仿宋"/>
          <w:b/>
          <w:sz w:val="32"/>
          <w:szCs w:val="32"/>
        </w:rPr>
      </w:pPr>
      <w:bookmarkStart w:id="47" w:name="_Toc15377223"/>
      <w:r>
        <w:rPr>
          <w:rFonts w:ascii="仿宋" w:eastAsia="仿宋" w:hAnsi="仿宋" w:hint="eastAsia"/>
          <w:b/>
          <w:sz w:val="32"/>
          <w:szCs w:val="32"/>
        </w:rPr>
        <w:t>（二）政府采购支出情况</w:t>
      </w:r>
      <w:bookmarkEnd w:id="47"/>
    </w:p>
    <w:p w:rsidR="00D56551" w:rsidRDefault="00C732AD">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w:t>
      </w:r>
      <w:r>
        <w:rPr>
          <w:rFonts w:ascii="仿宋_GB2312" w:eastAsia="仿宋_GB2312" w:hint="eastAsia"/>
          <w:sz w:val="32"/>
          <w:szCs w:val="32"/>
        </w:rPr>
        <w:t>年，政府采购支出总额</w:t>
      </w:r>
      <w:r>
        <w:rPr>
          <w:rFonts w:ascii="仿宋_GB2312" w:eastAsia="仿宋_GB2312" w:hint="eastAsia"/>
          <w:sz w:val="32"/>
          <w:szCs w:val="32"/>
        </w:rPr>
        <w:t>2792.35</w:t>
      </w:r>
      <w:r>
        <w:rPr>
          <w:rFonts w:ascii="仿宋_GB2312" w:eastAsia="仿宋_GB2312" w:hint="eastAsia"/>
          <w:sz w:val="32"/>
          <w:szCs w:val="32"/>
        </w:rPr>
        <w:t>万元，其中：政府采购货物支出</w:t>
      </w:r>
      <w:r>
        <w:rPr>
          <w:rFonts w:ascii="仿宋_GB2312" w:eastAsia="仿宋_GB2312" w:hint="eastAsia"/>
          <w:sz w:val="32"/>
          <w:szCs w:val="32"/>
        </w:rPr>
        <w:t>1069.58</w:t>
      </w:r>
      <w:r>
        <w:rPr>
          <w:rFonts w:ascii="仿宋_GB2312" w:eastAsia="仿宋_GB2312" w:hint="eastAsia"/>
          <w:sz w:val="32"/>
          <w:szCs w:val="32"/>
        </w:rPr>
        <w:t>万元、政府采购</w:t>
      </w:r>
      <w:r>
        <w:rPr>
          <w:rFonts w:ascii="仿宋_GB2312" w:eastAsia="仿宋_GB2312" w:hint="eastAsia"/>
          <w:sz w:val="32"/>
          <w:szCs w:val="32"/>
        </w:rPr>
        <w:t>工程</w:t>
      </w:r>
      <w:r>
        <w:rPr>
          <w:rFonts w:ascii="仿宋_GB2312" w:eastAsia="仿宋_GB2312" w:hint="eastAsia"/>
          <w:sz w:val="32"/>
          <w:szCs w:val="32"/>
        </w:rPr>
        <w:t>支出</w:t>
      </w:r>
      <w:r>
        <w:rPr>
          <w:rFonts w:ascii="仿宋_GB2312" w:eastAsia="仿宋_GB2312" w:hint="eastAsia"/>
          <w:sz w:val="32"/>
          <w:szCs w:val="32"/>
        </w:rPr>
        <w:t>1600.59</w:t>
      </w:r>
      <w:r>
        <w:rPr>
          <w:rFonts w:ascii="仿宋_GB2312" w:eastAsia="仿宋_GB2312" w:hint="eastAsia"/>
          <w:sz w:val="32"/>
          <w:szCs w:val="32"/>
        </w:rPr>
        <w:t>万元</w:t>
      </w:r>
      <w:r>
        <w:rPr>
          <w:rFonts w:ascii="仿宋_GB2312" w:eastAsia="仿宋_GB2312" w:hint="eastAsia"/>
          <w:sz w:val="32"/>
          <w:szCs w:val="32"/>
        </w:rPr>
        <w:t>、</w:t>
      </w:r>
      <w:r>
        <w:rPr>
          <w:rFonts w:ascii="仿宋_GB2312" w:eastAsia="仿宋_GB2312" w:hint="eastAsia"/>
          <w:sz w:val="32"/>
          <w:szCs w:val="32"/>
        </w:rPr>
        <w:t>政府采购服务支出</w:t>
      </w:r>
      <w:r>
        <w:rPr>
          <w:rFonts w:ascii="仿宋_GB2312" w:eastAsia="仿宋_GB2312" w:hint="eastAsia"/>
          <w:sz w:val="32"/>
          <w:szCs w:val="32"/>
        </w:rPr>
        <w:t>122.18</w:t>
      </w:r>
      <w:r>
        <w:rPr>
          <w:rFonts w:ascii="仿宋_GB2312" w:eastAsia="仿宋_GB2312" w:hint="eastAsia"/>
          <w:sz w:val="32"/>
          <w:szCs w:val="32"/>
        </w:rPr>
        <w:t>万元</w:t>
      </w:r>
      <w:r>
        <w:rPr>
          <w:rFonts w:ascii="仿宋_GB2312" w:eastAsia="仿宋_GB2312" w:hint="eastAsia"/>
          <w:sz w:val="32"/>
          <w:szCs w:val="32"/>
        </w:rPr>
        <w:t>，</w:t>
      </w:r>
      <w:r>
        <w:rPr>
          <w:rFonts w:ascii="仿宋_GB2312" w:eastAsia="仿宋_GB2312" w:hint="eastAsia"/>
          <w:sz w:val="32"/>
          <w:szCs w:val="32"/>
        </w:rPr>
        <w:t>主要用于实验室建设、教学平台建设、教学楼改造等。</w:t>
      </w:r>
      <w:r>
        <w:rPr>
          <w:rFonts w:ascii="仿宋_GB2312" w:eastAsia="仿宋_GB2312" w:hint="eastAsia"/>
          <w:sz w:val="32"/>
          <w:szCs w:val="32"/>
        </w:rPr>
        <w:t>授予中小企业合同金额</w:t>
      </w:r>
      <w:r>
        <w:rPr>
          <w:rFonts w:ascii="仿宋_GB2312" w:eastAsia="仿宋_GB2312" w:hint="eastAsia"/>
          <w:sz w:val="32"/>
          <w:szCs w:val="32"/>
        </w:rPr>
        <w:t>0</w:t>
      </w:r>
      <w:r>
        <w:rPr>
          <w:rFonts w:ascii="仿宋_GB2312" w:eastAsia="仿宋_GB2312" w:hint="eastAsia"/>
          <w:sz w:val="32"/>
          <w:szCs w:val="32"/>
        </w:rPr>
        <w:t>万元</w:t>
      </w:r>
      <w:r>
        <w:rPr>
          <w:rFonts w:ascii="仿宋_GB2312" w:eastAsia="仿宋_GB2312" w:hint="eastAsia"/>
          <w:sz w:val="32"/>
          <w:szCs w:val="32"/>
        </w:rPr>
        <w:t>。</w:t>
      </w:r>
    </w:p>
    <w:p w:rsidR="00D56551" w:rsidRDefault="00C732AD">
      <w:pPr>
        <w:autoSpaceDE w:val="0"/>
        <w:autoSpaceDN w:val="0"/>
        <w:adjustRightInd w:val="0"/>
        <w:spacing w:line="600" w:lineRule="exact"/>
        <w:ind w:firstLineChars="200" w:firstLine="643"/>
        <w:jc w:val="left"/>
        <w:outlineLvl w:val="2"/>
        <w:rPr>
          <w:rFonts w:ascii="仿宋" w:eastAsia="仿宋" w:hAnsi="仿宋"/>
          <w:b/>
          <w:sz w:val="32"/>
          <w:szCs w:val="32"/>
        </w:rPr>
      </w:pPr>
      <w:bookmarkStart w:id="48" w:name="_Toc15377224"/>
      <w:r>
        <w:rPr>
          <w:rFonts w:ascii="仿宋" w:eastAsia="仿宋" w:hAnsi="仿宋" w:hint="eastAsia"/>
          <w:b/>
          <w:sz w:val="32"/>
          <w:szCs w:val="32"/>
        </w:rPr>
        <w:t>（三）国有资产占有使用情况</w:t>
      </w:r>
      <w:bookmarkEnd w:id="48"/>
    </w:p>
    <w:p w:rsidR="00D56551" w:rsidRDefault="00C732AD">
      <w:pPr>
        <w:autoSpaceDE w:val="0"/>
        <w:autoSpaceDN w:val="0"/>
        <w:adjustRightInd w:val="0"/>
        <w:spacing w:line="600" w:lineRule="exact"/>
        <w:ind w:firstLineChars="200" w:firstLine="640"/>
        <w:jc w:val="left"/>
        <w:rPr>
          <w:rFonts w:ascii="仿宋" w:eastAsia="仿宋" w:hAnsi="仿宋"/>
          <w:b/>
          <w:sz w:val="32"/>
          <w:szCs w:val="32"/>
        </w:rPr>
      </w:pPr>
      <w:r>
        <w:rPr>
          <w:rFonts w:ascii="仿宋_GB2312" w:eastAsia="仿宋_GB2312" w:hint="eastAsia"/>
          <w:sz w:val="32"/>
          <w:szCs w:val="32"/>
        </w:rPr>
        <w:t>截至</w:t>
      </w:r>
      <w:r>
        <w:rPr>
          <w:rFonts w:ascii="仿宋_GB2312" w:eastAsia="仿宋_GB2312"/>
          <w:sz w:val="32"/>
          <w:szCs w:val="32"/>
        </w:rPr>
        <w:t>20</w:t>
      </w:r>
      <w:r>
        <w:rPr>
          <w:rFonts w:ascii="仿宋_GB2312" w:eastAsia="仿宋_GB2312" w:hint="eastAsia"/>
          <w:sz w:val="32"/>
          <w:szCs w:val="32"/>
        </w:rPr>
        <w:t>22</w:t>
      </w:r>
      <w:r>
        <w:rPr>
          <w:rFonts w:ascii="仿宋_GB2312" w:eastAsia="仿宋_GB2312" w:hint="eastAsia"/>
          <w:sz w:val="32"/>
          <w:szCs w:val="32"/>
        </w:rPr>
        <w:t>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日，共有车辆</w:t>
      </w:r>
      <w:r>
        <w:rPr>
          <w:rFonts w:ascii="仿宋_GB2312" w:eastAsia="仿宋_GB2312" w:hint="eastAsia"/>
          <w:sz w:val="32"/>
          <w:szCs w:val="32"/>
        </w:rPr>
        <w:t>17</w:t>
      </w:r>
      <w:r>
        <w:rPr>
          <w:rFonts w:ascii="仿宋_GB2312" w:eastAsia="仿宋_GB2312" w:hint="eastAsia"/>
          <w:sz w:val="32"/>
          <w:szCs w:val="32"/>
        </w:rPr>
        <w:t>辆，其中：主要领导干部用车</w:t>
      </w:r>
      <w:r>
        <w:rPr>
          <w:rFonts w:ascii="仿宋_GB2312" w:eastAsia="仿宋_GB2312" w:hint="eastAsia"/>
          <w:sz w:val="32"/>
          <w:szCs w:val="32"/>
        </w:rPr>
        <w:t>1</w:t>
      </w:r>
      <w:r>
        <w:rPr>
          <w:rFonts w:ascii="仿宋_GB2312" w:eastAsia="仿宋_GB2312" w:hint="eastAsia"/>
          <w:sz w:val="32"/>
          <w:szCs w:val="32"/>
        </w:rPr>
        <w:t>辆、特种专业技术用车</w:t>
      </w:r>
      <w:r>
        <w:rPr>
          <w:rFonts w:ascii="仿宋_GB2312" w:eastAsia="仿宋_GB2312" w:hint="eastAsia"/>
          <w:sz w:val="32"/>
          <w:szCs w:val="32"/>
        </w:rPr>
        <w:t>1</w:t>
      </w:r>
      <w:r>
        <w:rPr>
          <w:rFonts w:ascii="仿宋_GB2312" w:eastAsia="仿宋_GB2312" w:hint="eastAsia"/>
          <w:sz w:val="32"/>
          <w:szCs w:val="32"/>
        </w:rPr>
        <w:t>辆、离退休干部用车</w:t>
      </w:r>
      <w:r>
        <w:rPr>
          <w:rFonts w:ascii="仿宋_GB2312" w:eastAsia="仿宋_GB2312" w:hint="eastAsia"/>
          <w:sz w:val="32"/>
          <w:szCs w:val="32"/>
        </w:rPr>
        <w:t>2</w:t>
      </w:r>
      <w:r>
        <w:rPr>
          <w:rFonts w:ascii="仿宋_GB2312" w:eastAsia="仿宋_GB2312" w:hint="eastAsia"/>
          <w:sz w:val="32"/>
          <w:szCs w:val="32"/>
        </w:rPr>
        <w:t>辆、其他用车</w:t>
      </w:r>
      <w:r>
        <w:rPr>
          <w:rFonts w:ascii="仿宋_GB2312" w:eastAsia="仿宋_GB2312" w:hint="eastAsia"/>
          <w:sz w:val="32"/>
          <w:szCs w:val="32"/>
        </w:rPr>
        <w:t>13</w:t>
      </w:r>
      <w:r>
        <w:rPr>
          <w:rFonts w:ascii="仿宋_GB2312" w:eastAsia="仿宋_GB2312" w:hint="eastAsia"/>
          <w:sz w:val="32"/>
          <w:szCs w:val="32"/>
        </w:rPr>
        <w:t>辆，其他用车主要是用于学校教职工因公出行。单价</w:t>
      </w:r>
      <w:r>
        <w:rPr>
          <w:rFonts w:ascii="仿宋_GB2312" w:eastAsia="仿宋_GB2312" w:hint="eastAsia"/>
          <w:sz w:val="32"/>
          <w:szCs w:val="32"/>
        </w:rPr>
        <w:t>50</w:t>
      </w:r>
      <w:r>
        <w:rPr>
          <w:rFonts w:ascii="仿宋_GB2312" w:eastAsia="仿宋_GB2312" w:hint="eastAsia"/>
          <w:sz w:val="32"/>
          <w:szCs w:val="32"/>
        </w:rPr>
        <w:t>万元以上通用设备</w:t>
      </w:r>
      <w:r>
        <w:rPr>
          <w:rFonts w:ascii="仿宋_GB2312" w:eastAsia="仿宋_GB2312" w:hint="eastAsia"/>
          <w:sz w:val="32"/>
          <w:szCs w:val="32"/>
        </w:rPr>
        <w:t>0</w:t>
      </w:r>
      <w:r>
        <w:rPr>
          <w:rFonts w:ascii="仿宋_GB2312" w:eastAsia="仿宋_GB2312" w:hint="eastAsia"/>
          <w:sz w:val="32"/>
          <w:szCs w:val="32"/>
        </w:rPr>
        <w:t>台（套），单价</w:t>
      </w:r>
      <w:r>
        <w:rPr>
          <w:rFonts w:ascii="仿宋_GB2312" w:eastAsia="仿宋_GB2312" w:hint="eastAsia"/>
          <w:sz w:val="32"/>
          <w:szCs w:val="32"/>
        </w:rPr>
        <w:t>100</w:t>
      </w:r>
      <w:r>
        <w:rPr>
          <w:rFonts w:ascii="仿宋_GB2312" w:eastAsia="仿宋_GB2312" w:hint="eastAsia"/>
          <w:sz w:val="32"/>
          <w:szCs w:val="32"/>
        </w:rPr>
        <w:t>万元以上专用设备</w:t>
      </w:r>
      <w:r>
        <w:rPr>
          <w:rFonts w:ascii="仿宋_GB2312" w:eastAsia="仿宋_GB2312" w:hint="eastAsia"/>
          <w:sz w:val="32"/>
          <w:szCs w:val="32"/>
        </w:rPr>
        <w:t>23</w:t>
      </w:r>
      <w:r>
        <w:rPr>
          <w:rFonts w:ascii="仿宋_GB2312" w:eastAsia="仿宋_GB2312" w:hint="eastAsia"/>
          <w:sz w:val="32"/>
          <w:szCs w:val="32"/>
        </w:rPr>
        <w:t>台（套）。</w:t>
      </w:r>
    </w:p>
    <w:p w:rsidR="00D56551" w:rsidRDefault="00C732AD">
      <w:pPr>
        <w:autoSpaceDE w:val="0"/>
        <w:autoSpaceDN w:val="0"/>
        <w:adjustRightInd w:val="0"/>
        <w:spacing w:line="600" w:lineRule="exact"/>
        <w:ind w:firstLineChars="200" w:firstLine="643"/>
        <w:jc w:val="left"/>
        <w:outlineLvl w:val="2"/>
        <w:rPr>
          <w:rFonts w:ascii="仿宋" w:eastAsia="仿宋" w:hAnsi="仿宋"/>
          <w:b/>
          <w:sz w:val="32"/>
          <w:szCs w:val="32"/>
        </w:rPr>
      </w:pPr>
      <w:r>
        <w:rPr>
          <w:rFonts w:ascii="仿宋" w:eastAsia="仿宋" w:hAnsi="仿宋" w:hint="eastAsia"/>
          <w:b/>
          <w:sz w:val="32"/>
          <w:szCs w:val="32"/>
        </w:rPr>
        <w:t>（四）预算绩效管理情况</w:t>
      </w:r>
    </w:p>
    <w:p w:rsidR="00D56551" w:rsidRDefault="00C732A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根据预算绩效管理要求，本单位在</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年度预算编制阶段，组织对单位运转项目、学生资助经费</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个项目开展了预算事前绩效评估，对</w:t>
      </w:r>
      <w:r>
        <w:rPr>
          <w:rFonts w:ascii="仿宋_GB2312" w:eastAsia="仿宋_GB2312" w:hAnsi="仿宋_GB2312" w:cs="仿宋_GB2312" w:hint="eastAsia"/>
          <w:sz w:val="32"/>
          <w:szCs w:val="32"/>
        </w:rPr>
        <w:t>33</w:t>
      </w:r>
      <w:r>
        <w:rPr>
          <w:rFonts w:ascii="仿宋_GB2312" w:eastAsia="仿宋_GB2312" w:hAnsi="仿宋_GB2312" w:cs="仿宋_GB2312" w:hint="eastAsia"/>
          <w:sz w:val="32"/>
          <w:szCs w:val="32"/>
        </w:rPr>
        <w:t>个项目编制了绩效目标，预算执行过程中，选取</w:t>
      </w:r>
      <w:r>
        <w:rPr>
          <w:rFonts w:ascii="仿宋_GB2312" w:eastAsia="仿宋_GB2312" w:hAnsi="仿宋_GB2312" w:cs="仿宋_GB2312" w:hint="eastAsia"/>
          <w:sz w:val="32"/>
          <w:szCs w:val="32"/>
        </w:rPr>
        <w:t>33</w:t>
      </w:r>
      <w:r>
        <w:rPr>
          <w:rFonts w:ascii="仿宋_GB2312" w:eastAsia="仿宋_GB2312" w:hAnsi="仿宋_GB2312" w:cs="仿宋_GB2312" w:hint="eastAsia"/>
          <w:sz w:val="32"/>
          <w:szCs w:val="32"/>
        </w:rPr>
        <w:t>个项目开展绩效监控，组织对</w:t>
      </w: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个项目</w:t>
      </w:r>
      <w:r>
        <w:rPr>
          <w:rFonts w:ascii="仿宋_GB2312" w:eastAsia="仿宋_GB2312" w:hAnsi="仿宋_GB2312" w:cs="仿宋_GB2312" w:hint="eastAsia"/>
          <w:sz w:val="32"/>
          <w:szCs w:val="32"/>
        </w:rPr>
        <w:lastRenderedPageBreak/>
        <w:t>开展绩效自评，绩效自评表详见第四部分附件。</w:t>
      </w:r>
    </w:p>
    <w:p w:rsidR="00D56551" w:rsidRDefault="00C732AD">
      <w:pPr>
        <w:autoSpaceDE w:val="0"/>
        <w:autoSpaceDN w:val="0"/>
        <w:adjustRightInd w:val="0"/>
        <w:spacing w:line="600" w:lineRule="exact"/>
        <w:ind w:firstLineChars="200" w:firstLine="643"/>
        <w:rPr>
          <w:rFonts w:ascii="仿宋_GB2312" w:eastAsia="仿宋_GB2312"/>
          <w:b/>
          <w:sz w:val="32"/>
          <w:szCs w:val="32"/>
        </w:rPr>
      </w:pPr>
      <w:r>
        <w:rPr>
          <w:rFonts w:ascii="仿宋" w:eastAsia="仿宋" w:hAnsi="仿宋" w:hint="eastAsia"/>
          <w:b/>
          <w:sz w:val="32"/>
          <w:szCs w:val="32"/>
        </w:rPr>
        <w:t>（注：</w:t>
      </w:r>
      <w:r>
        <w:rPr>
          <w:rFonts w:ascii="仿宋" w:eastAsia="仿宋" w:hAnsi="仿宋" w:hint="eastAsia"/>
          <w:b/>
          <w:sz w:val="32"/>
          <w:szCs w:val="32"/>
        </w:rPr>
        <w:t>单位</w:t>
      </w:r>
      <w:r>
        <w:rPr>
          <w:rFonts w:ascii="仿宋_GB2312" w:eastAsia="仿宋_GB2312" w:hAnsi="仿宋_GB2312" w:cs="仿宋_GB2312" w:hint="eastAsia"/>
          <w:b/>
          <w:sz w:val="32"/>
          <w:szCs w:val="32"/>
        </w:rPr>
        <w:t>2022</w:t>
      </w:r>
      <w:r>
        <w:rPr>
          <w:rFonts w:ascii="仿宋_GB2312" w:eastAsia="仿宋_GB2312" w:hAnsi="仿宋_GB2312" w:cs="仿宋_GB2312" w:hint="eastAsia"/>
          <w:b/>
          <w:sz w:val="32"/>
          <w:szCs w:val="32"/>
        </w:rPr>
        <w:t>年特定目标类部门预算项目绩效目标自评表为本部门</w:t>
      </w:r>
      <w:r>
        <w:rPr>
          <w:rFonts w:ascii="仿宋_GB2312" w:eastAsia="仿宋_GB2312" w:hAnsi="仿宋_GB2312" w:cs="仿宋_GB2312" w:hint="eastAsia"/>
          <w:b/>
          <w:sz w:val="32"/>
          <w:szCs w:val="32"/>
        </w:rPr>
        <w:t>2022</w:t>
      </w:r>
      <w:r>
        <w:rPr>
          <w:rFonts w:ascii="仿宋_GB2312" w:eastAsia="仿宋_GB2312" w:hAnsi="仿宋_GB2312" w:cs="仿宋_GB2312" w:hint="eastAsia"/>
          <w:b/>
          <w:sz w:val="32"/>
          <w:szCs w:val="32"/>
        </w:rPr>
        <w:t>年部门整体支出绩效评价报告中涉及本单位的附表</w:t>
      </w:r>
      <w:r>
        <w:rPr>
          <w:rFonts w:ascii="仿宋" w:eastAsia="仿宋" w:hAnsi="仿宋" w:hint="eastAsia"/>
          <w:b/>
          <w:sz w:val="32"/>
          <w:szCs w:val="32"/>
        </w:rPr>
        <w:t>）</w:t>
      </w:r>
      <w:bookmarkStart w:id="49" w:name="_GoBack"/>
      <w:bookmarkEnd w:id="49"/>
    </w:p>
    <w:p w:rsidR="00D56551" w:rsidRDefault="00C732AD">
      <w:pPr>
        <w:numPr>
          <w:ilvl w:val="0"/>
          <w:numId w:val="4"/>
        </w:numPr>
        <w:spacing w:line="600" w:lineRule="exact"/>
        <w:ind w:firstLineChars="150" w:firstLine="660"/>
        <w:jc w:val="center"/>
        <w:outlineLvl w:val="0"/>
        <w:rPr>
          <w:rStyle w:val="1Char"/>
          <w:rFonts w:ascii="黑体" w:eastAsia="黑体" w:hAnsi="黑体"/>
          <w:b w:val="0"/>
        </w:rPr>
      </w:pPr>
      <w:bookmarkStart w:id="50" w:name="_Toc15396613"/>
      <w:bookmarkStart w:id="51" w:name="_Toc15377225"/>
      <w:r>
        <w:rPr>
          <w:rFonts w:ascii="黑体" w:eastAsia="黑体" w:hAnsi="黑体" w:hint="eastAsia"/>
          <w:sz w:val="44"/>
          <w:szCs w:val="44"/>
        </w:rPr>
        <w:t>名</w:t>
      </w:r>
      <w:r>
        <w:rPr>
          <w:rStyle w:val="1Char"/>
          <w:rFonts w:ascii="黑体" w:eastAsia="黑体" w:hAnsi="黑体" w:hint="eastAsia"/>
          <w:b w:val="0"/>
        </w:rPr>
        <w:t>词解释</w:t>
      </w:r>
      <w:bookmarkEnd w:id="50"/>
      <w:bookmarkEnd w:id="51"/>
    </w:p>
    <w:p w:rsidR="00D56551" w:rsidRDefault="00D56551">
      <w:pPr>
        <w:spacing w:line="600" w:lineRule="exact"/>
        <w:jc w:val="left"/>
        <w:rPr>
          <w:rFonts w:ascii="宋体"/>
          <w:b/>
          <w:sz w:val="44"/>
          <w:szCs w:val="44"/>
        </w:rPr>
      </w:pPr>
    </w:p>
    <w:p w:rsidR="00D56551" w:rsidRDefault="00C732AD">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rsidR="00D56551" w:rsidRDefault="00C732AD">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事业收入：指事业单位开展专业业务活动及辅助活动取得的收入。如…（二级预算单位事业收入情况）等。</w:t>
      </w:r>
    </w:p>
    <w:p w:rsidR="00D56551" w:rsidRDefault="00C732AD">
      <w:pPr>
        <w:pStyle w:val="Default"/>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经营收入：指事业单位在专业业务活动及其辅助活动之外开展非独立核算经营活动取得的收入。如…（二级预算单位经营收入情况）等。</w:t>
      </w:r>
    </w:p>
    <w:p w:rsidR="00D56551" w:rsidRDefault="00C732AD">
      <w:pPr>
        <w:pStyle w:val="Default"/>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其他收入：指单位取得的除上述收入以外的各项收入。主要是…（收入类型）等。</w:t>
      </w:r>
    </w:p>
    <w:p w:rsidR="00D56551" w:rsidRDefault="00C732AD">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使用非财政拨款结余：指事业单位使用以前年度积累的非财政拨款结余弥补当年收支差额的金额。</w:t>
      </w:r>
    </w:p>
    <w:p w:rsidR="00D56551" w:rsidRDefault="00C732AD">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p>
    <w:p w:rsidR="00D56551" w:rsidRDefault="00C732AD">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结余分配：指事业单位按照会计制度规定缴</w:t>
      </w:r>
      <w:r>
        <w:rPr>
          <w:rFonts w:ascii="仿宋_GB2312" w:eastAsia="仿宋_GB2312" w:hint="eastAsia"/>
          <w:sz w:val="32"/>
          <w:szCs w:val="32"/>
        </w:rPr>
        <w:t>纳的所得税、提取的专用结余以及转入非财政拨款结余的金额等。</w:t>
      </w:r>
    </w:p>
    <w:p w:rsidR="00D56551" w:rsidRDefault="00C732AD">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w:t>
      </w:r>
      <w:r>
        <w:rPr>
          <w:rFonts w:ascii="仿宋_GB2312" w:eastAsia="仿宋_GB2312" w:hint="eastAsia"/>
          <w:sz w:val="32"/>
          <w:szCs w:val="32"/>
        </w:rPr>
        <w:t>年末结转和结余：指单位按有关规定结转到下年或以后年度继续使用的资金。</w:t>
      </w:r>
    </w:p>
    <w:p w:rsidR="00D56551" w:rsidRDefault="00C732AD">
      <w:pPr>
        <w:ind w:firstLineChars="200" w:firstLine="640"/>
        <w:rPr>
          <w:rFonts w:ascii="仿宋_GB2312" w:eastAsia="仿宋_GB2312"/>
          <w:color w:val="000000"/>
          <w:sz w:val="32"/>
          <w:szCs w:val="32"/>
        </w:rPr>
      </w:pPr>
      <w:r>
        <w:rPr>
          <w:rFonts w:ascii="仿宋_GB2312" w:eastAsia="仿宋_GB2312"/>
          <w:color w:val="000000"/>
          <w:sz w:val="32"/>
          <w:szCs w:val="32"/>
        </w:rPr>
        <w:t>9.</w:t>
      </w:r>
      <w:r>
        <w:rPr>
          <w:rFonts w:ascii="仿宋_GB2312" w:eastAsia="仿宋_GB2312" w:hint="eastAsia"/>
          <w:color w:val="000000"/>
          <w:sz w:val="32"/>
          <w:szCs w:val="32"/>
        </w:rPr>
        <w:t>一般公共服务（类）</w:t>
      </w:r>
      <w:r>
        <w:rPr>
          <w:rFonts w:ascii="仿宋_GB2312" w:eastAsia="仿宋_GB2312" w:hint="eastAsia"/>
          <w:color w:val="000000"/>
          <w:sz w:val="32"/>
          <w:szCs w:val="32"/>
        </w:rPr>
        <w:t>组织事务</w:t>
      </w:r>
      <w:r>
        <w:rPr>
          <w:rFonts w:ascii="仿宋_GB2312" w:eastAsia="仿宋_GB2312" w:hint="eastAsia"/>
          <w:color w:val="000000"/>
          <w:sz w:val="32"/>
          <w:szCs w:val="32"/>
        </w:rPr>
        <w:t>（款）其他组织事务支</w:t>
      </w:r>
      <w:r>
        <w:rPr>
          <w:rFonts w:ascii="仿宋_GB2312" w:eastAsia="仿宋_GB2312" w:hint="eastAsia"/>
          <w:color w:val="000000"/>
          <w:sz w:val="32"/>
          <w:szCs w:val="32"/>
        </w:rPr>
        <w:lastRenderedPageBreak/>
        <w:t>出（项）</w:t>
      </w:r>
      <w:r>
        <w:rPr>
          <w:rFonts w:ascii="仿宋_GB2312" w:eastAsia="仿宋_GB2312" w:hint="eastAsia"/>
          <w:color w:val="000000"/>
          <w:sz w:val="32"/>
          <w:szCs w:val="32"/>
        </w:rPr>
        <w:t>：</w:t>
      </w:r>
      <w:r>
        <w:rPr>
          <w:rFonts w:ascii="仿宋_GB2312" w:eastAsia="仿宋_GB2312" w:hint="eastAsia"/>
          <w:color w:val="000000"/>
          <w:sz w:val="32"/>
          <w:szCs w:val="32"/>
        </w:rPr>
        <w:t>反映出上述以外其他用于中国共产党组织部门的事务支出。</w:t>
      </w:r>
    </w:p>
    <w:p w:rsidR="00D56551" w:rsidRDefault="00C732AD">
      <w:pPr>
        <w:ind w:firstLineChars="200" w:firstLine="640"/>
        <w:rPr>
          <w:rFonts w:ascii="仿宋_GB2312" w:eastAsia="仿宋_GB2312"/>
          <w:color w:val="000000"/>
          <w:sz w:val="32"/>
          <w:szCs w:val="32"/>
        </w:rPr>
      </w:pPr>
      <w:r>
        <w:rPr>
          <w:rFonts w:ascii="仿宋_GB2312" w:eastAsia="仿宋_GB2312" w:hint="eastAsia"/>
          <w:color w:val="000000"/>
          <w:sz w:val="32"/>
          <w:szCs w:val="32"/>
        </w:rPr>
        <w:t>10.</w:t>
      </w:r>
      <w:r>
        <w:rPr>
          <w:rFonts w:ascii="仿宋_GB2312" w:eastAsia="仿宋_GB2312" w:hint="eastAsia"/>
          <w:color w:val="000000"/>
          <w:sz w:val="32"/>
          <w:szCs w:val="32"/>
        </w:rPr>
        <w:t>一般公共服务（类）其他一般公共服务支出（款）其他一般公共服务支出（项）</w:t>
      </w:r>
      <w:r>
        <w:rPr>
          <w:rFonts w:ascii="仿宋_GB2312" w:eastAsia="仿宋_GB2312" w:hint="eastAsia"/>
          <w:color w:val="000000"/>
          <w:sz w:val="32"/>
          <w:szCs w:val="32"/>
        </w:rPr>
        <w:t>：</w:t>
      </w:r>
      <w:r>
        <w:rPr>
          <w:rFonts w:ascii="仿宋_GB2312" w:eastAsia="仿宋_GB2312" w:hint="eastAsia"/>
          <w:color w:val="000000"/>
          <w:sz w:val="32"/>
          <w:szCs w:val="32"/>
        </w:rPr>
        <w:t>反映出上述项目以外其他一般公共服务支出。</w:t>
      </w:r>
    </w:p>
    <w:p w:rsidR="00D56551" w:rsidRDefault="00C732AD">
      <w:pPr>
        <w:ind w:firstLineChars="200" w:firstLine="640"/>
        <w:rPr>
          <w:rFonts w:ascii="仿宋_GB2312" w:eastAsia="仿宋_GB2312"/>
          <w:color w:val="000000"/>
          <w:sz w:val="32"/>
          <w:szCs w:val="32"/>
        </w:rPr>
      </w:pPr>
      <w:r>
        <w:rPr>
          <w:rFonts w:ascii="仿宋_GB2312" w:eastAsia="仿宋_GB2312" w:hint="eastAsia"/>
          <w:color w:val="000000"/>
          <w:sz w:val="32"/>
          <w:szCs w:val="32"/>
        </w:rPr>
        <w:t>11.</w:t>
      </w:r>
      <w:r>
        <w:rPr>
          <w:rFonts w:ascii="仿宋_GB2312" w:eastAsia="仿宋_GB2312" w:hint="eastAsia"/>
          <w:color w:val="000000"/>
          <w:sz w:val="32"/>
          <w:szCs w:val="32"/>
        </w:rPr>
        <w:t>教育（类）普通教育（款）高等教育（项）：指反映各部门举办的普通本科（包括研究生）教育支出。政府部门对社会组织举办的普通本科高等院校（包括研</w:t>
      </w:r>
      <w:r>
        <w:rPr>
          <w:rFonts w:ascii="仿宋_GB2312" w:eastAsia="仿宋_GB2312" w:hint="eastAsia"/>
          <w:color w:val="000000"/>
          <w:sz w:val="32"/>
          <w:szCs w:val="32"/>
        </w:rPr>
        <w:t>究生的资助）如捐赠、补贴等，也在本科目中反映。</w:t>
      </w:r>
    </w:p>
    <w:p w:rsidR="00D56551" w:rsidRDefault="00C732AD">
      <w:pPr>
        <w:ind w:firstLineChars="200" w:firstLine="640"/>
        <w:rPr>
          <w:rFonts w:ascii="仿宋_GB2312" w:eastAsia="仿宋_GB2312"/>
          <w:color w:val="000000"/>
          <w:sz w:val="32"/>
          <w:szCs w:val="32"/>
        </w:rPr>
      </w:pPr>
      <w:r>
        <w:rPr>
          <w:rFonts w:ascii="仿宋_GB2312" w:eastAsia="仿宋_GB2312"/>
          <w:color w:val="000000"/>
          <w:sz w:val="32"/>
          <w:szCs w:val="32"/>
        </w:rPr>
        <w:t>1</w:t>
      </w:r>
      <w:r>
        <w:rPr>
          <w:rFonts w:ascii="仿宋_GB2312" w:eastAsia="仿宋_GB2312" w:hint="eastAsia"/>
          <w:color w:val="000000"/>
          <w:sz w:val="32"/>
          <w:szCs w:val="32"/>
        </w:rPr>
        <w:t>2</w:t>
      </w:r>
      <w:r>
        <w:rPr>
          <w:rFonts w:ascii="仿宋_GB2312" w:eastAsia="仿宋_GB2312"/>
          <w:color w:val="000000"/>
          <w:sz w:val="32"/>
          <w:szCs w:val="32"/>
        </w:rPr>
        <w:t>.</w:t>
      </w:r>
      <w:r>
        <w:rPr>
          <w:rFonts w:ascii="仿宋_GB2312" w:eastAsia="仿宋_GB2312" w:hint="eastAsia"/>
          <w:color w:val="000000"/>
          <w:sz w:val="32"/>
          <w:szCs w:val="32"/>
        </w:rPr>
        <w:t>科学技术（类）基础研究（款）专项基础研究（项）：指反映从事基础研究、近期无法取得实用价值的应用研究机构的支出、专项科学研究支出，以及国家实验室、国家重点实验室、重大科学工程、高层科技人才等支出。</w:t>
      </w:r>
    </w:p>
    <w:p w:rsidR="00D56551" w:rsidRDefault="00C732AD">
      <w:pPr>
        <w:ind w:firstLineChars="200" w:firstLine="640"/>
        <w:rPr>
          <w:rFonts w:ascii="仿宋_GB2312" w:eastAsia="仿宋_GB2312"/>
          <w:color w:val="000000"/>
          <w:sz w:val="32"/>
          <w:szCs w:val="32"/>
        </w:rPr>
      </w:pPr>
      <w:r>
        <w:rPr>
          <w:rFonts w:ascii="仿宋_GB2312" w:eastAsia="仿宋_GB2312"/>
          <w:color w:val="000000"/>
          <w:sz w:val="32"/>
          <w:szCs w:val="32"/>
        </w:rPr>
        <w:t>1</w:t>
      </w:r>
      <w:r>
        <w:rPr>
          <w:rFonts w:ascii="仿宋_GB2312" w:eastAsia="仿宋_GB2312" w:hint="eastAsia"/>
          <w:color w:val="000000"/>
          <w:sz w:val="32"/>
          <w:szCs w:val="32"/>
        </w:rPr>
        <w:t>3</w:t>
      </w:r>
      <w:r>
        <w:rPr>
          <w:rFonts w:ascii="仿宋_GB2312" w:eastAsia="仿宋_GB2312"/>
          <w:color w:val="000000"/>
          <w:sz w:val="32"/>
          <w:szCs w:val="32"/>
        </w:rPr>
        <w:t>.</w:t>
      </w:r>
      <w:r>
        <w:rPr>
          <w:rFonts w:ascii="仿宋_GB2312" w:eastAsia="仿宋_GB2312" w:hint="eastAsia"/>
          <w:color w:val="000000"/>
          <w:sz w:val="32"/>
          <w:szCs w:val="32"/>
        </w:rPr>
        <w:t>科学技术（类）科技重大项目（款）重点研发计划（项）：指反映用于科技重大专项的经费支出。</w:t>
      </w:r>
    </w:p>
    <w:p w:rsidR="00D56551" w:rsidRDefault="00C732AD">
      <w:pPr>
        <w:ind w:firstLineChars="200" w:firstLine="640"/>
        <w:rPr>
          <w:rFonts w:ascii="仿宋_GB2312" w:eastAsia="仿宋_GB2312"/>
          <w:color w:val="000000"/>
          <w:sz w:val="32"/>
          <w:szCs w:val="32"/>
        </w:rPr>
      </w:pPr>
      <w:r>
        <w:rPr>
          <w:rFonts w:ascii="仿宋_GB2312" w:eastAsia="仿宋_GB2312"/>
          <w:color w:val="000000"/>
          <w:sz w:val="32"/>
          <w:szCs w:val="32"/>
        </w:rPr>
        <w:t>1</w:t>
      </w:r>
      <w:r>
        <w:rPr>
          <w:rFonts w:ascii="仿宋_GB2312" w:eastAsia="仿宋_GB2312" w:hint="eastAsia"/>
          <w:color w:val="000000"/>
          <w:sz w:val="32"/>
          <w:szCs w:val="32"/>
        </w:rPr>
        <w:t>4</w:t>
      </w:r>
      <w:r>
        <w:rPr>
          <w:rFonts w:ascii="仿宋_GB2312" w:eastAsia="仿宋_GB2312"/>
          <w:color w:val="000000"/>
          <w:sz w:val="32"/>
          <w:szCs w:val="32"/>
        </w:rPr>
        <w:t>.</w:t>
      </w:r>
      <w:r>
        <w:rPr>
          <w:rFonts w:ascii="仿宋_GB2312" w:eastAsia="仿宋_GB2312" w:hint="eastAsia"/>
          <w:color w:val="000000"/>
          <w:sz w:val="32"/>
          <w:szCs w:val="32"/>
        </w:rPr>
        <w:t>社会保障和就业支出（类）行政事业单位养老支出（款）事业单位离退休（项）：指反映实行归口管理的事业单位开支的离退休经费。</w:t>
      </w:r>
    </w:p>
    <w:p w:rsidR="00D56551" w:rsidRDefault="00C732AD">
      <w:pPr>
        <w:ind w:firstLineChars="200" w:firstLine="640"/>
        <w:rPr>
          <w:rFonts w:ascii="仿宋_GB2312" w:eastAsia="仿宋_GB2312"/>
          <w:color w:val="000000"/>
          <w:sz w:val="32"/>
          <w:szCs w:val="32"/>
        </w:rPr>
      </w:pPr>
      <w:r>
        <w:rPr>
          <w:rFonts w:ascii="仿宋_GB2312" w:eastAsia="仿宋_GB2312"/>
          <w:color w:val="000000"/>
          <w:sz w:val="32"/>
          <w:szCs w:val="32"/>
        </w:rPr>
        <w:t>1</w:t>
      </w:r>
      <w:r>
        <w:rPr>
          <w:rFonts w:ascii="仿宋_GB2312" w:eastAsia="仿宋_GB2312" w:hint="eastAsia"/>
          <w:color w:val="000000"/>
          <w:sz w:val="32"/>
          <w:szCs w:val="32"/>
        </w:rPr>
        <w:t>5</w:t>
      </w:r>
      <w:r>
        <w:rPr>
          <w:rFonts w:ascii="仿宋_GB2312" w:eastAsia="仿宋_GB2312"/>
          <w:color w:val="000000"/>
          <w:sz w:val="32"/>
          <w:szCs w:val="32"/>
        </w:rPr>
        <w:t>.</w:t>
      </w:r>
      <w:r>
        <w:rPr>
          <w:rFonts w:ascii="仿宋_GB2312" w:eastAsia="仿宋_GB2312" w:hint="eastAsia"/>
          <w:color w:val="000000"/>
          <w:sz w:val="32"/>
          <w:szCs w:val="32"/>
        </w:rPr>
        <w:t>社会保障和就业支出（类）其他社会保障和就业支出（款）其他社会保障和就业支出（项）：指反映出上述项目以外其他用于社会保障和就业方面的支出。</w:t>
      </w:r>
    </w:p>
    <w:p w:rsidR="00D56551" w:rsidRDefault="00C732AD">
      <w:pPr>
        <w:ind w:firstLineChars="200" w:firstLine="640"/>
        <w:rPr>
          <w:rFonts w:ascii="仿宋_GB2312" w:eastAsia="仿宋_GB2312"/>
          <w:color w:val="000000"/>
          <w:sz w:val="32"/>
          <w:szCs w:val="32"/>
        </w:rPr>
      </w:pPr>
      <w:r>
        <w:rPr>
          <w:rFonts w:ascii="仿宋_GB2312" w:eastAsia="仿宋_GB2312"/>
          <w:color w:val="000000"/>
          <w:sz w:val="32"/>
          <w:szCs w:val="32"/>
        </w:rPr>
        <w:t>1</w:t>
      </w:r>
      <w:r>
        <w:rPr>
          <w:rFonts w:ascii="仿宋_GB2312" w:eastAsia="仿宋_GB2312" w:hint="eastAsia"/>
          <w:color w:val="000000"/>
          <w:sz w:val="32"/>
          <w:szCs w:val="32"/>
        </w:rPr>
        <w:t>6</w:t>
      </w:r>
      <w:r>
        <w:rPr>
          <w:rFonts w:ascii="仿宋_GB2312" w:eastAsia="仿宋_GB2312"/>
          <w:color w:val="000000"/>
          <w:sz w:val="32"/>
          <w:szCs w:val="32"/>
        </w:rPr>
        <w:t>.</w:t>
      </w:r>
      <w:r>
        <w:rPr>
          <w:rFonts w:ascii="仿宋_GB2312" w:eastAsia="仿宋_GB2312" w:hint="eastAsia"/>
          <w:color w:val="000000"/>
          <w:sz w:val="32"/>
          <w:szCs w:val="32"/>
        </w:rPr>
        <w:t>卫生健康支出支出（类）公共卫生（款）基本公共</w:t>
      </w:r>
      <w:r>
        <w:rPr>
          <w:rFonts w:ascii="仿宋_GB2312" w:eastAsia="仿宋_GB2312" w:hint="eastAsia"/>
          <w:color w:val="000000"/>
          <w:sz w:val="32"/>
          <w:szCs w:val="32"/>
        </w:rPr>
        <w:lastRenderedPageBreak/>
        <w:t>卫生服务（项）：指反映基本公共卫生服务支出。</w:t>
      </w:r>
    </w:p>
    <w:p w:rsidR="00D56551" w:rsidRDefault="00C732AD">
      <w:pPr>
        <w:ind w:firstLineChars="200" w:firstLine="640"/>
        <w:rPr>
          <w:rFonts w:ascii="仿宋_GB2312" w:eastAsia="仿宋_GB2312"/>
          <w:color w:val="000000"/>
          <w:sz w:val="32"/>
          <w:szCs w:val="32"/>
        </w:rPr>
      </w:pPr>
      <w:r>
        <w:rPr>
          <w:rFonts w:ascii="仿宋_GB2312" w:eastAsia="仿宋_GB2312"/>
          <w:color w:val="000000"/>
          <w:sz w:val="32"/>
          <w:szCs w:val="32"/>
        </w:rPr>
        <w:t>1</w:t>
      </w:r>
      <w:r>
        <w:rPr>
          <w:rFonts w:ascii="仿宋_GB2312" w:eastAsia="仿宋_GB2312" w:hint="eastAsia"/>
          <w:color w:val="000000"/>
          <w:sz w:val="32"/>
          <w:szCs w:val="32"/>
        </w:rPr>
        <w:t>7</w:t>
      </w:r>
      <w:r>
        <w:rPr>
          <w:rFonts w:ascii="仿宋_GB2312" w:eastAsia="仿宋_GB2312"/>
          <w:color w:val="000000"/>
          <w:sz w:val="32"/>
          <w:szCs w:val="32"/>
        </w:rPr>
        <w:t>.</w:t>
      </w:r>
      <w:r>
        <w:rPr>
          <w:rFonts w:ascii="仿宋_GB2312" w:eastAsia="仿宋_GB2312" w:hint="eastAsia"/>
          <w:color w:val="000000"/>
          <w:sz w:val="32"/>
          <w:szCs w:val="32"/>
        </w:rPr>
        <w:t>卫生健康支出（类）公共卫生（款）其他公共卫生支出（项）：指反映出上述项目以外的其他用于公共卫生方面的支出。</w:t>
      </w:r>
    </w:p>
    <w:p w:rsidR="00D56551" w:rsidRDefault="00C732AD">
      <w:pPr>
        <w:ind w:firstLineChars="200" w:firstLine="640"/>
        <w:rPr>
          <w:rFonts w:ascii="仿宋_GB2312" w:eastAsia="仿宋_GB2312"/>
          <w:color w:val="000000"/>
          <w:sz w:val="32"/>
          <w:szCs w:val="32"/>
        </w:rPr>
      </w:pPr>
      <w:r>
        <w:rPr>
          <w:rFonts w:ascii="仿宋_GB2312" w:eastAsia="仿宋_GB2312"/>
          <w:color w:val="000000"/>
          <w:sz w:val="32"/>
          <w:szCs w:val="32"/>
        </w:rPr>
        <w:t>1</w:t>
      </w:r>
      <w:r>
        <w:rPr>
          <w:rFonts w:ascii="仿宋_GB2312" w:eastAsia="仿宋_GB2312" w:hint="eastAsia"/>
          <w:color w:val="000000"/>
          <w:sz w:val="32"/>
          <w:szCs w:val="32"/>
        </w:rPr>
        <w:t>8</w:t>
      </w:r>
      <w:r>
        <w:rPr>
          <w:rFonts w:ascii="仿宋_GB2312" w:eastAsia="仿宋_GB2312"/>
          <w:color w:val="000000"/>
          <w:sz w:val="32"/>
          <w:szCs w:val="32"/>
        </w:rPr>
        <w:t>.</w:t>
      </w:r>
      <w:r>
        <w:rPr>
          <w:rFonts w:ascii="仿宋_GB2312" w:eastAsia="仿宋_GB2312" w:hint="eastAsia"/>
          <w:color w:val="000000"/>
          <w:sz w:val="32"/>
          <w:szCs w:val="32"/>
        </w:rPr>
        <w:t>卫生健康支出（类）中医药（款）中医（民族医）药专项（项）：指反映中医（民族医）药方面的专项支出。</w:t>
      </w:r>
    </w:p>
    <w:p w:rsidR="00D56551" w:rsidRDefault="00C732AD">
      <w:pPr>
        <w:ind w:firstLineChars="200" w:firstLine="640"/>
        <w:rPr>
          <w:rFonts w:ascii="仿宋_GB2312" w:eastAsia="仿宋_GB2312"/>
          <w:color w:val="000000"/>
          <w:sz w:val="32"/>
          <w:szCs w:val="32"/>
        </w:rPr>
      </w:pPr>
      <w:r>
        <w:rPr>
          <w:rFonts w:ascii="仿宋_GB2312" w:eastAsia="仿宋_GB2312"/>
          <w:color w:val="000000"/>
          <w:sz w:val="32"/>
          <w:szCs w:val="32"/>
        </w:rPr>
        <w:t>1</w:t>
      </w:r>
      <w:r>
        <w:rPr>
          <w:rFonts w:ascii="仿宋_GB2312" w:eastAsia="仿宋_GB2312" w:hint="eastAsia"/>
          <w:color w:val="000000"/>
          <w:sz w:val="32"/>
          <w:szCs w:val="32"/>
        </w:rPr>
        <w:t>9</w:t>
      </w:r>
      <w:r>
        <w:rPr>
          <w:rFonts w:ascii="仿宋_GB2312" w:eastAsia="仿宋_GB2312"/>
          <w:color w:val="000000"/>
          <w:sz w:val="32"/>
          <w:szCs w:val="32"/>
        </w:rPr>
        <w:t>.</w:t>
      </w:r>
      <w:r>
        <w:rPr>
          <w:rFonts w:ascii="仿宋_GB2312" w:eastAsia="仿宋_GB2312" w:hint="eastAsia"/>
          <w:color w:val="000000"/>
          <w:sz w:val="32"/>
          <w:szCs w:val="32"/>
        </w:rPr>
        <w:t>卫生健康支出（类）其他卫生健康支出（款）</w:t>
      </w:r>
      <w:r>
        <w:rPr>
          <w:rFonts w:ascii="仿宋_GB2312" w:eastAsia="仿宋_GB2312" w:hint="eastAsia"/>
          <w:color w:val="000000"/>
          <w:sz w:val="32"/>
          <w:szCs w:val="32"/>
        </w:rPr>
        <w:t xml:space="preserve"> </w:t>
      </w:r>
      <w:r>
        <w:rPr>
          <w:rFonts w:ascii="仿宋_GB2312" w:eastAsia="仿宋_GB2312" w:hint="eastAsia"/>
          <w:color w:val="000000"/>
          <w:sz w:val="32"/>
          <w:szCs w:val="32"/>
        </w:rPr>
        <w:t>其他卫生健康</w:t>
      </w:r>
      <w:r>
        <w:rPr>
          <w:rFonts w:ascii="仿宋_GB2312" w:eastAsia="仿宋_GB2312" w:hint="eastAsia"/>
          <w:color w:val="000000"/>
          <w:sz w:val="32"/>
          <w:szCs w:val="32"/>
        </w:rPr>
        <w:t>支出（项）：指反映出上述项目以外其他用于卫生健康支出方面的支出。</w:t>
      </w:r>
    </w:p>
    <w:p w:rsidR="00D56551" w:rsidRDefault="00C732AD">
      <w:pPr>
        <w:ind w:firstLineChars="200" w:firstLine="640"/>
        <w:rPr>
          <w:rFonts w:ascii="仿宋_GB2312" w:eastAsia="仿宋_GB2312"/>
          <w:color w:val="000000"/>
          <w:sz w:val="32"/>
          <w:szCs w:val="32"/>
        </w:rPr>
      </w:pPr>
      <w:r>
        <w:rPr>
          <w:rFonts w:ascii="仿宋_GB2312" w:eastAsia="仿宋_GB2312"/>
          <w:color w:val="000000"/>
          <w:sz w:val="32"/>
          <w:szCs w:val="32"/>
        </w:rPr>
        <w:t>20.</w:t>
      </w:r>
      <w:r>
        <w:rPr>
          <w:rFonts w:ascii="仿宋_GB2312" w:eastAsia="仿宋_GB2312" w:hint="eastAsia"/>
          <w:color w:val="000000"/>
          <w:sz w:val="32"/>
          <w:szCs w:val="32"/>
        </w:rPr>
        <w:t>债务付息支出（类）地方政府一般债务付息支出（款）地方政府其他一般债务付息支出（项）</w:t>
      </w:r>
      <w:r>
        <w:rPr>
          <w:rFonts w:ascii="仿宋_GB2312" w:eastAsia="仿宋_GB2312" w:hint="eastAsia"/>
          <w:color w:val="000000"/>
          <w:sz w:val="32"/>
          <w:szCs w:val="32"/>
        </w:rPr>
        <w:t>:</w:t>
      </w:r>
      <w:r>
        <w:rPr>
          <w:rFonts w:ascii="仿宋_GB2312" w:eastAsia="仿宋_GB2312" w:hint="eastAsia"/>
          <w:color w:val="000000"/>
          <w:sz w:val="32"/>
          <w:szCs w:val="32"/>
        </w:rPr>
        <w:t>指反映地方政府用于归还其他一般债务利息所发生的支出。</w:t>
      </w:r>
    </w:p>
    <w:p w:rsidR="00D56551" w:rsidRDefault="00C732AD">
      <w:pPr>
        <w:ind w:firstLineChars="200" w:firstLine="640"/>
        <w:rPr>
          <w:rFonts w:ascii="仿宋_GB2312" w:eastAsia="仿宋_GB2312"/>
          <w:color w:val="000000"/>
          <w:sz w:val="32"/>
          <w:szCs w:val="32"/>
        </w:rPr>
      </w:pPr>
      <w:r>
        <w:rPr>
          <w:rFonts w:ascii="仿宋_GB2312" w:eastAsia="仿宋_GB2312"/>
          <w:color w:val="000000"/>
          <w:sz w:val="32"/>
          <w:szCs w:val="32"/>
        </w:rPr>
        <w:t>2</w:t>
      </w:r>
      <w:r>
        <w:rPr>
          <w:rFonts w:ascii="仿宋_GB2312" w:eastAsia="仿宋_GB2312" w:hint="eastAsia"/>
          <w:color w:val="000000"/>
          <w:sz w:val="32"/>
          <w:szCs w:val="32"/>
        </w:rPr>
        <w:t>1</w:t>
      </w:r>
      <w:r>
        <w:rPr>
          <w:rFonts w:ascii="仿宋_GB2312" w:eastAsia="仿宋_GB2312"/>
          <w:color w:val="000000"/>
          <w:sz w:val="32"/>
          <w:szCs w:val="32"/>
        </w:rPr>
        <w:t>.</w:t>
      </w:r>
      <w:r>
        <w:rPr>
          <w:rFonts w:ascii="仿宋_GB2312" w:eastAsia="仿宋_GB2312" w:hint="eastAsia"/>
          <w:color w:val="000000"/>
          <w:sz w:val="32"/>
          <w:szCs w:val="32"/>
        </w:rPr>
        <w:t>基本支出：指为保障机构正常运转、完成日常工作任务而发生的人员支出和公用支出。</w:t>
      </w:r>
    </w:p>
    <w:p w:rsidR="00D56551" w:rsidRDefault="00C732AD">
      <w:pPr>
        <w:ind w:firstLineChars="200" w:firstLine="640"/>
        <w:rPr>
          <w:rFonts w:ascii="仿宋_GB2312" w:eastAsia="仿宋_GB2312"/>
          <w:color w:val="000000"/>
          <w:sz w:val="32"/>
          <w:szCs w:val="32"/>
        </w:rPr>
      </w:pPr>
      <w:r>
        <w:rPr>
          <w:rFonts w:ascii="仿宋_GB2312" w:eastAsia="仿宋_GB2312"/>
          <w:color w:val="000000"/>
          <w:sz w:val="32"/>
          <w:szCs w:val="32"/>
        </w:rPr>
        <w:t>2</w:t>
      </w:r>
      <w:r>
        <w:rPr>
          <w:rFonts w:ascii="仿宋_GB2312" w:eastAsia="仿宋_GB2312" w:hint="eastAsia"/>
          <w:color w:val="000000"/>
          <w:sz w:val="32"/>
          <w:szCs w:val="32"/>
        </w:rPr>
        <w:t>2</w:t>
      </w:r>
      <w:r>
        <w:rPr>
          <w:rFonts w:ascii="仿宋_GB2312" w:eastAsia="仿宋_GB2312"/>
          <w:color w:val="000000"/>
          <w:sz w:val="32"/>
          <w:szCs w:val="32"/>
        </w:rPr>
        <w:t>.</w:t>
      </w:r>
      <w:r>
        <w:rPr>
          <w:rFonts w:ascii="仿宋_GB2312" w:eastAsia="仿宋_GB2312" w:hint="eastAsia"/>
          <w:color w:val="000000"/>
          <w:sz w:val="32"/>
          <w:szCs w:val="32"/>
        </w:rPr>
        <w:t>项目支出：指在基本支出之外为完成特定行政任务和事业发展目标所发生的支出。</w:t>
      </w:r>
    </w:p>
    <w:p w:rsidR="00D56551" w:rsidRDefault="00C732AD">
      <w:pPr>
        <w:ind w:firstLineChars="200" w:firstLine="640"/>
        <w:rPr>
          <w:rFonts w:ascii="仿宋_GB2312" w:eastAsia="仿宋_GB2312"/>
          <w:color w:val="000000"/>
          <w:sz w:val="32"/>
          <w:szCs w:val="32"/>
        </w:rPr>
      </w:pPr>
      <w:r>
        <w:rPr>
          <w:rFonts w:ascii="仿宋_GB2312" w:eastAsia="仿宋_GB2312"/>
          <w:color w:val="000000"/>
          <w:sz w:val="32"/>
          <w:szCs w:val="32"/>
        </w:rPr>
        <w:t>2</w:t>
      </w:r>
      <w:r>
        <w:rPr>
          <w:rFonts w:ascii="仿宋_GB2312" w:eastAsia="仿宋_GB2312" w:hint="eastAsia"/>
          <w:color w:val="000000"/>
          <w:sz w:val="32"/>
          <w:szCs w:val="32"/>
        </w:rPr>
        <w:t>3</w:t>
      </w:r>
      <w:r>
        <w:rPr>
          <w:rFonts w:ascii="仿宋_GB2312" w:eastAsia="仿宋_GB2312"/>
          <w:color w:val="000000"/>
          <w:sz w:val="32"/>
          <w:szCs w:val="32"/>
        </w:rPr>
        <w:t>.</w:t>
      </w:r>
      <w:r>
        <w:rPr>
          <w:rFonts w:ascii="仿宋_GB2312" w:eastAsia="仿宋_GB2312" w:hint="eastAsia"/>
          <w:color w:val="000000"/>
          <w:sz w:val="32"/>
          <w:szCs w:val="32"/>
        </w:rPr>
        <w:t>经营支出：指事业单位在专业业务活动及其辅助活动之外开展非独立核算经营活动发生的支出。</w:t>
      </w:r>
    </w:p>
    <w:p w:rsidR="00D56551" w:rsidRDefault="00C732AD">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24</w:t>
      </w:r>
      <w:r>
        <w:rPr>
          <w:rFonts w:ascii="仿宋_GB2312" w:eastAsia="仿宋_GB2312"/>
          <w:sz w:val="32"/>
          <w:szCs w:val="32"/>
        </w:rPr>
        <w:t>.</w:t>
      </w:r>
      <w:r>
        <w:rPr>
          <w:rFonts w:ascii="仿宋_GB2312" w:eastAsia="仿宋_GB2312" w:hint="eastAsia"/>
          <w:sz w:val="32"/>
          <w:szCs w:val="32"/>
        </w:rPr>
        <w:t>“三公”经费：指单位用财政拨款安排的因公出国（境）费、公务用车购置及运行费和公务接待费。其中，因公出国（境）费反映单位公务出国（境）的国际旅费、国外城市间交通费、住宿费、伙食费、培训费、公杂费等支出；</w:t>
      </w:r>
      <w:r>
        <w:rPr>
          <w:rFonts w:ascii="仿宋_GB2312" w:eastAsia="仿宋_GB2312" w:hint="eastAsia"/>
          <w:sz w:val="32"/>
          <w:szCs w:val="32"/>
        </w:rPr>
        <w:lastRenderedPageBreak/>
        <w:t>公务用车购置及运行费反映单位公务用车车辆购置支出（含车辆购置税）及租用费、燃料费、维修费、过路过桥费、保险费等支出；公务接待费反映单位按规定开支的各类公务接待（含外宾接待）支出。</w:t>
      </w:r>
    </w:p>
    <w:p w:rsidR="00D56551" w:rsidRDefault="00C732AD">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25</w:t>
      </w:r>
      <w:r>
        <w:rPr>
          <w:rFonts w:ascii="仿宋_GB2312" w:eastAsia="仿宋_GB2312"/>
          <w:sz w:val="32"/>
          <w:szCs w:val="32"/>
        </w:rPr>
        <w:t>.</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w:t>
      </w:r>
      <w:r>
        <w:rPr>
          <w:rFonts w:ascii="仿宋_GB2312" w:eastAsia="仿宋_GB2312" w:hint="eastAsia"/>
          <w:sz w:val="32"/>
          <w:szCs w:val="32"/>
        </w:rPr>
        <w:t>、会议费、福利费、日常维修费、专用材料及一般设备购置费、办公用房水电费、办公用房取暖费、办公用房物业管理费、公务用车运行维护费以及其他费用。</w:t>
      </w:r>
    </w:p>
    <w:p w:rsidR="00D56551" w:rsidRDefault="00C732AD">
      <w:pPr>
        <w:spacing w:line="600" w:lineRule="exact"/>
        <w:jc w:val="center"/>
        <w:outlineLvl w:val="0"/>
        <w:rPr>
          <w:rStyle w:val="1Char"/>
          <w:rFonts w:ascii="黑体" w:eastAsia="黑体" w:hAnsi="黑体"/>
          <w:b w:val="0"/>
        </w:rPr>
      </w:pPr>
      <w:bookmarkStart w:id="52" w:name="_Toc15377226"/>
      <w:r>
        <w:rPr>
          <w:rFonts w:ascii="宋体"/>
          <w:b/>
          <w:sz w:val="44"/>
          <w:szCs w:val="44"/>
        </w:rPr>
        <w:br w:type="page"/>
      </w:r>
      <w:bookmarkStart w:id="53" w:name="_Toc15396614"/>
      <w:bookmarkStart w:id="54" w:name="_Toc15396618"/>
      <w:r>
        <w:rPr>
          <w:rFonts w:ascii="黑体" w:eastAsia="黑体" w:hAnsi="黑体" w:hint="eastAsia"/>
          <w:sz w:val="44"/>
          <w:szCs w:val="44"/>
        </w:rPr>
        <w:lastRenderedPageBreak/>
        <w:t>第</w:t>
      </w:r>
      <w:r>
        <w:rPr>
          <w:rStyle w:val="1Char"/>
          <w:rFonts w:ascii="黑体" w:eastAsia="黑体" w:hAnsi="黑体" w:hint="eastAsia"/>
          <w:b w:val="0"/>
        </w:rPr>
        <w:t>四部分</w:t>
      </w:r>
      <w:r>
        <w:rPr>
          <w:rStyle w:val="1Char"/>
          <w:rFonts w:ascii="黑体" w:eastAsia="黑体" w:hAnsi="黑体" w:hint="eastAsia"/>
          <w:b w:val="0"/>
        </w:rPr>
        <w:t xml:space="preserve"> </w:t>
      </w:r>
      <w:r>
        <w:rPr>
          <w:rStyle w:val="1Char"/>
          <w:rFonts w:ascii="黑体" w:eastAsia="黑体" w:hAnsi="黑体" w:hint="eastAsia"/>
          <w:b w:val="0"/>
        </w:rPr>
        <w:t>附件</w:t>
      </w:r>
      <w:bookmarkEnd w:id="53"/>
    </w:p>
    <w:p w:rsidR="00D56551" w:rsidRDefault="00C732AD">
      <w:pPr>
        <w:spacing w:line="600" w:lineRule="exact"/>
        <w:jc w:val="center"/>
        <w:outlineLvl w:val="0"/>
        <w:rPr>
          <w:rFonts w:ascii="宋体" w:hAnsi="宋体" w:cs="宋体"/>
          <w:kern w:val="0"/>
          <w:sz w:val="32"/>
          <w:szCs w:val="32"/>
        </w:rPr>
      </w:pPr>
      <w:r>
        <w:rPr>
          <w:rFonts w:ascii="宋体" w:hAnsi="宋体" w:cs="宋体" w:hint="eastAsia"/>
          <w:kern w:val="0"/>
          <w:sz w:val="32"/>
          <w:szCs w:val="32"/>
        </w:rPr>
        <w:t>部门预算项目支出绩效自评表（</w:t>
      </w:r>
      <w:r>
        <w:rPr>
          <w:rFonts w:ascii="宋体" w:hAnsi="宋体" w:cs="宋体" w:hint="eastAsia"/>
          <w:kern w:val="0"/>
          <w:sz w:val="32"/>
          <w:szCs w:val="32"/>
        </w:rPr>
        <w:t>2022</w:t>
      </w:r>
      <w:r>
        <w:rPr>
          <w:rFonts w:ascii="宋体" w:hAnsi="宋体" w:cs="宋体" w:hint="eastAsia"/>
          <w:kern w:val="0"/>
          <w:sz w:val="32"/>
          <w:szCs w:val="32"/>
        </w:rPr>
        <w:t>年度）</w:t>
      </w:r>
    </w:p>
    <w:tbl>
      <w:tblPr>
        <w:tblpPr w:leftFromText="180" w:rightFromText="180" w:vertAnchor="text" w:horzAnchor="page" w:tblpX="1249" w:tblpY="310"/>
        <w:tblOverlap w:val="never"/>
        <w:tblW w:w="9620" w:type="dxa"/>
        <w:tblLook w:val="04A0"/>
      </w:tblPr>
      <w:tblGrid>
        <w:gridCol w:w="640"/>
        <w:gridCol w:w="1186"/>
        <w:gridCol w:w="1074"/>
        <w:gridCol w:w="1502"/>
        <w:gridCol w:w="422"/>
        <w:gridCol w:w="776"/>
        <w:gridCol w:w="701"/>
        <w:gridCol w:w="776"/>
        <w:gridCol w:w="456"/>
        <w:gridCol w:w="456"/>
        <w:gridCol w:w="1631"/>
      </w:tblGrid>
      <w:tr w:rsidR="00D56551">
        <w:trPr>
          <w:trHeight w:val="754"/>
        </w:trPr>
        <w:tc>
          <w:tcPr>
            <w:tcW w:w="962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rPr>
              <w:t>部门预算项目支出绩效自评表（</w:t>
            </w:r>
            <w:r>
              <w:rPr>
                <w:rFonts w:ascii="宋体" w:hAnsi="宋体" w:cs="宋体" w:hint="eastAsia"/>
                <w:b/>
                <w:bCs/>
                <w:color w:val="000000"/>
                <w:kern w:val="0"/>
                <w:sz w:val="16"/>
                <w:szCs w:val="16"/>
                <w:lang/>
              </w:rPr>
              <w:t>2022</w:t>
            </w:r>
            <w:r>
              <w:rPr>
                <w:rFonts w:ascii="宋体" w:hAnsi="宋体" w:cs="宋体" w:hint="eastAsia"/>
                <w:b/>
                <w:bCs/>
                <w:color w:val="000000"/>
                <w:kern w:val="0"/>
                <w:sz w:val="16"/>
                <w:szCs w:val="16"/>
                <w:lang/>
              </w:rPr>
              <w:t>年度）</w:t>
            </w:r>
          </w:p>
        </w:tc>
      </w:tr>
      <w:tr w:rsidR="00D56551">
        <w:trPr>
          <w:trHeight w:val="294"/>
        </w:trPr>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项目名称</w:t>
            </w:r>
          </w:p>
        </w:tc>
        <w:tc>
          <w:tcPr>
            <w:tcW w:w="779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51000021T000000019606-</w:t>
            </w:r>
            <w:r>
              <w:rPr>
                <w:rFonts w:ascii="宋体" w:hAnsi="宋体" w:cs="宋体" w:hint="eastAsia"/>
                <w:color w:val="000000"/>
                <w:kern w:val="0"/>
                <w:sz w:val="16"/>
                <w:szCs w:val="16"/>
                <w:lang/>
              </w:rPr>
              <w:t>继续实施项目</w:t>
            </w:r>
            <w:r>
              <w:rPr>
                <w:rFonts w:ascii="宋体" w:hAnsi="宋体" w:cs="宋体" w:hint="eastAsia"/>
                <w:color w:val="000000"/>
                <w:kern w:val="0"/>
                <w:sz w:val="16"/>
                <w:szCs w:val="16"/>
                <w:lang/>
              </w:rPr>
              <w:t>-</w:t>
            </w:r>
            <w:r>
              <w:rPr>
                <w:rFonts w:ascii="宋体" w:hAnsi="宋体" w:cs="宋体" w:hint="eastAsia"/>
                <w:color w:val="000000"/>
                <w:kern w:val="0"/>
                <w:sz w:val="16"/>
                <w:szCs w:val="16"/>
                <w:lang/>
              </w:rPr>
              <w:t>省级预算内基本建设资金</w:t>
            </w:r>
          </w:p>
        </w:tc>
      </w:tr>
      <w:tr w:rsidR="00D56551">
        <w:trPr>
          <w:trHeight w:val="863"/>
        </w:trPr>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主管部门</w:t>
            </w: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四川省教育厅部门</w:t>
            </w:r>
          </w:p>
        </w:tc>
        <w:tc>
          <w:tcPr>
            <w:tcW w:w="776" w:type="dxa"/>
            <w:tcBorders>
              <w:top w:val="nil"/>
              <w:left w:val="nil"/>
              <w:bottom w:val="nil"/>
              <w:right w:val="nil"/>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实施单位</w:t>
            </w:r>
            <w:r>
              <w:rPr>
                <w:rFonts w:ascii="宋体" w:hAnsi="宋体" w:cs="宋体" w:hint="eastAsia"/>
                <w:color w:val="000000"/>
                <w:kern w:val="0"/>
                <w:sz w:val="16"/>
                <w:szCs w:val="16"/>
                <w:lang/>
              </w:rPr>
              <w:t xml:space="preserve"> </w:t>
            </w:r>
            <w:r>
              <w:rPr>
                <w:rFonts w:ascii="宋体" w:hAnsi="宋体" w:cs="宋体" w:hint="eastAsia"/>
                <w:color w:val="000000"/>
                <w:kern w:val="0"/>
                <w:sz w:val="16"/>
                <w:szCs w:val="16"/>
                <w:lang/>
              </w:rPr>
              <w:t>（盖章）</w:t>
            </w:r>
          </w:p>
        </w:tc>
        <w:tc>
          <w:tcPr>
            <w:tcW w:w="25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川北医学院</w:t>
            </w:r>
          </w:p>
        </w:tc>
      </w:tr>
      <w:tr w:rsidR="00D56551">
        <w:trPr>
          <w:trHeight w:val="294"/>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项目基本情况</w:t>
            </w: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1.</w:t>
            </w:r>
            <w:r>
              <w:rPr>
                <w:rFonts w:ascii="宋体" w:hAnsi="宋体" w:cs="宋体" w:hint="eastAsia"/>
                <w:color w:val="000000"/>
                <w:kern w:val="0"/>
                <w:sz w:val="16"/>
                <w:szCs w:val="16"/>
                <w:lang/>
              </w:rPr>
              <w:t>项目年度目标完成情况</w:t>
            </w: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项目年度目标</w:t>
            </w:r>
          </w:p>
        </w:tc>
        <w:tc>
          <w:tcPr>
            <w:tcW w:w="33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年度目标完成情况</w:t>
            </w:r>
          </w:p>
        </w:tc>
      </w:tr>
      <w:tr w:rsidR="00D56551">
        <w:trPr>
          <w:trHeight w:val="597"/>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用于国际医院建设支出。</w:t>
            </w:r>
          </w:p>
        </w:tc>
        <w:tc>
          <w:tcPr>
            <w:tcW w:w="33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国际医院于</w:t>
            </w:r>
            <w:r>
              <w:rPr>
                <w:rFonts w:ascii="宋体" w:hAnsi="宋体" w:cs="宋体" w:hint="eastAsia"/>
                <w:color w:val="000000"/>
                <w:kern w:val="0"/>
                <w:sz w:val="16"/>
                <w:szCs w:val="16"/>
                <w:lang/>
              </w:rPr>
              <w:t>2021</w:t>
            </w:r>
            <w:r>
              <w:rPr>
                <w:rFonts w:ascii="宋体" w:hAnsi="宋体" w:cs="宋体" w:hint="eastAsia"/>
                <w:color w:val="000000"/>
                <w:kern w:val="0"/>
                <w:sz w:val="16"/>
                <w:szCs w:val="16"/>
                <w:lang/>
              </w:rPr>
              <w:t>年停工，</w:t>
            </w:r>
            <w:r>
              <w:rPr>
                <w:rFonts w:ascii="宋体" w:hAnsi="宋体" w:cs="宋体" w:hint="eastAsia"/>
                <w:color w:val="000000"/>
                <w:kern w:val="0"/>
                <w:sz w:val="16"/>
                <w:szCs w:val="16"/>
                <w:lang/>
              </w:rPr>
              <w:t>2022</w:t>
            </w:r>
            <w:r>
              <w:rPr>
                <w:rFonts w:ascii="宋体" w:hAnsi="宋体" w:cs="宋体" w:hint="eastAsia"/>
                <w:color w:val="000000"/>
                <w:kern w:val="0"/>
                <w:sz w:val="16"/>
                <w:szCs w:val="16"/>
                <w:lang/>
              </w:rPr>
              <w:t>年暂未复工，未发生支出，无法实现年度目标。</w:t>
            </w:r>
          </w:p>
        </w:tc>
      </w:tr>
      <w:tr w:rsidR="00D56551">
        <w:trPr>
          <w:trHeight w:val="585"/>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2.</w:t>
            </w:r>
            <w:r>
              <w:rPr>
                <w:rFonts w:ascii="宋体" w:hAnsi="宋体" w:cs="宋体" w:hint="eastAsia"/>
                <w:color w:val="000000"/>
                <w:kern w:val="0"/>
                <w:sz w:val="16"/>
                <w:szCs w:val="16"/>
                <w:lang/>
              </w:rPr>
              <w:t>项目实施内容及过程概述</w:t>
            </w:r>
          </w:p>
        </w:tc>
        <w:tc>
          <w:tcPr>
            <w:tcW w:w="779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国际医院于</w:t>
            </w:r>
            <w:r>
              <w:rPr>
                <w:rFonts w:ascii="宋体" w:hAnsi="宋体" w:cs="宋体" w:hint="eastAsia"/>
                <w:color w:val="000000"/>
                <w:kern w:val="0"/>
                <w:sz w:val="16"/>
                <w:szCs w:val="16"/>
                <w:lang/>
              </w:rPr>
              <w:t>2021</w:t>
            </w:r>
            <w:r>
              <w:rPr>
                <w:rFonts w:ascii="宋体" w:hAnsi="宋体" w:cs="宋体" w:hint="eastAsia"/>
                <w:color w:val="000000"/>
                <w:kern w:val="0"/>
                <w:sz w:val="16"/>
                <w:szCs w:val="16"/>
                <w:lang/>
              </w:rPr>
              <w:t>年停工，</w:t>
            </w:r>
            <w:r>
              <w:rPr>
                <w:rFonts w:ascii="宋体" w:hAnsi="宋体" w:cs="宋体" w:hint="eastAsia"/>
                <w:color w:val="000000"/>
                <w:kern w:val="0"/>
                <w:sz w:val="16"/>
                <w:szCs w:val="16"/>
                <w:lang/>
              </w:rPr>
              <w:t>2022</w:t>
            </w:r>
            <w:r>
              <w:rPr>
                <w:rFonts w:ascii="宋体" w:hAnsi="宋体" w:cs="宋体" w:hint="eastAsia"/>
                <w:color w:val="000000"/>
                <w:kern w:val="0"/>
                <w:sz w:val="16"/>
                <w:szCs w:val="16"/>
                <w:lang/>
              </w:rPr>
              <w:t>年暂未复工，未发生支出，无法实现年度目标。</w:t>
            </w:r>
          </w:p>
        </w:tc>
      </w:tr>
      <w:tr w:rsidR="00D56551">
        <w:trPr>
          <w:trHeight w:val="578"/>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预算执行情况（</w:t>
            </w:r>
            <w:r>
              <w:rPr>
                <w:rFonts w:ascii="宋体" w:hAnsi="宋体" w:cs="宋体" w:hint="eastAsia"/>
                <w:color w:val="000000"/>
                <w:kern w:val="0"/>
                <w:sz w:val="16"/>
                <w:szCs w:val="16"/>
                <w:lang/>
              </w:rPr>
              <w:t>10</w:t>
            </w:r>
            <w:r>
              <w:rPr>
                <w:rFonts w:ascii="宋体" w:hAnsi="宋体" w:cs="宋体" w:hint="eastAsia"/>
                <w:color w:val="000000"/>
                <w:kern w:val="0"/>
                <w:sz w:val="16"/>
                <w:szCs w:val="16"/>
                <w:lang/>
              </w:rPr>
              <w:t>分）</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年度预算数（万元）</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年初预算</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调整后预算数</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预算执行数</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预算执行率</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得分</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原因</w:t>
            </w:r>
          </w:p>
        </w:tc>
      </w:tr>
      <w:tr w:rsidR="00D56551">
        <w:trPr>
          <w:trHeight w:val="339"/>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总额</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38.47</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38.47</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w:t>
            </w:r>
          </w:p>
        </w:tc>
        <w:tc>
          <w:tcPr>
            <w:tcW w:w="16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国际医院于</w:t>
            </w:r>
            <w:r>
              <w:rPr>
                <w:rFonts w:ascii="宋体" w:hAnsi="宋体" w:cs="宋体" w:hint="eastAsia"/>
                <w:i/>
                <w:iCs/>
                <w:color w:val="000000"/>
                <w:kern w:val="0"/>
                <w:sz w:val="16"/>
                <w:szCs w:val="16"/>
                <w:lang/>
              </w:rPr>
              <w:t>2021</w:t>
            </w:r>
            <w:r>
              <w:rPr>
                <w:rFonts w:ascii="宋体" w:hAnsi="宋体" w:cs="宋体" w:hint="eastAsia"/>
                <w:i/>
                <w:iCs/>
                <w:color w:val="000000"/>
                <w:kern w:val="0"/>
                <w:sz w:val="16"/>
                <w:szCs w:val="16"/>
                <w:lang/>
              </w:rPr>
              <w:t>年停工，</w:t>
            </w:r>
            <w:r>
              <w:rPr>
                <w:rFonts w:ascii="宋体" w:hAnsi="宋体" w:cs="宋体" w:hint="eastAsia"/>
                <w:i/>
                <w:iCs/>
                <w:color w:val="000000"/>
                <w:kern w:val="0"/>
                <w:sz w:val="16"/>
                <w:szCs w:val="16"/>
                <w:lang/>
              </w:rPr>
              <w:t>2022</w:t>
            </w:r>
            <w:r>
              <w:rPr>
                <w:rFonts w:ascii="宋体" w:hAnsi="宋体" w:cs="宋体" w:hint="eastAsia"/>
                <w:i/>
                <w:iCs/>
                <w:color w:val="000000"/>
                <w:kern w:val="0"/>
                <w:sz w:val="16"/>
                <w:szCs w:val="16"/>
                <w:lang/>
              </w:rPr>
              <w:t>年暂未复工，未发生支出，无法实现年度目标。</w:t>
            </w:r>
          </w:p>
        </w:tc>
      </w:tr>
      <w:tr w:rsidR="00D56551">
        <w:trPr>
          <w:trHeight w:val="374"/>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其中：财政资金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38.47</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38.47</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财政专户管理资金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50"/>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单位资金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32"/>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其他资金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1147"/>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绩效指标（</w:t>
            </w:r>
            <w:r>
              <w:rPr>
                <w:rFonts w:ascii="宋体" w:hAnsi="宋体" w:cs="宋体" w:hint="eastAsia"/>
                <w:color w:val="000000"/>
                <w:kern w:val="0"/>
                <w:sz w:val="16"/>
                <w:szCs w:val="16"/>
                <w:lang/>
              </w:rPr>
              <w:t>90</w:t>
            </w:r>
            <w:r>
              <w:rPr>
                <w:rFonts w:ascii="宋体" w:hAnsi="宋体" w:cs="宋体" w:hint="eastAsia"/>
                <w:color w:val="000000"/>
                <w:kern w:val="0"/>
                <w:sz w:val="16"/>
                <w:szCs w:val="16"/>
                <w:lang/>
              </w:rPr>
              <w:t>分）</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一级指标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二级指标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三级指标</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指标性质</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指标值</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度量单位</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完成值</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得分</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未完成原因分析</w:t>
            </w:r>
          </w:p>
        </w:tc>
      </w:tr>
      <w:tr w:rsidR="00D56551">
        <w:trPr>
          <w:trHeight w:val="1013"/>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产出指标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数量指标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用于国际医院建设支出，提升地区医疗水平。</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38.47</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万元</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50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国际医院于</w:t>
            </w:r>
            <w:r>
              <w:rPr>
                <w:rFonts w:ascii="宋体" w:hAnsi="宋体" w:cs="宋体" w:hint="eastAsia"/>
                <w:i/>
                <w:iCs/>
                <w:color w:val="000000"/>
                <w:kern w:val="0"/>
                <w:sz w:val="16"/>
                <w:szCs w:val="16"/>
                <w:lang/>
              </w:rPr>
              <w:t>2021</w:t>
            </w:r>
            <w:r>
              <w:rPr>
                <w:rFonts w:ascii="宋体" w:hAnsi="宋体" w:cs="宋体" w:hint="eastAsia"/>
                <w:i/>
                <w:iCs/>
                <w:color w:val="000000"/>
                <w:kern w:val="0"/>
                <w:sz w:val="16"/>
                <w:szCs w:val="16"/>
                <w:lang/>
              </w:rPr>
              <w:t>年停工，</w:t>
            </w:r>
            <w:r>
              <w:rPr>
                <w:rFonts w:ascii="宋体" w:hAnsi="宋体" w:cs="宋体" w:hint="eastAsia"/>
                <w:i/>
                <w:iCs/>
                <w:color w:val="000000"/>
                <w:kern w:val="0"/>
                <w:sz w:val="16"/>
                <w:szCs w:val="16"/>
                <w:lang/>
              </w:rPr>
              <w:t>2022</w:t>
            </w:r>
            <w:r>
              <w:rPr>
                <w:rFonts w:ascii="宋体" w:hAnsi="宋体" w:cs="宋体" w:hint="eastAsia"/>
                <w:i/>
                <w:iCs/>
                <w:color w:val="000000"/>
                <w:kern w:val="0"/>
                <w:sz w:val="16"/>
                <w:szCs w:val="16"/>
                <w:lang/>
              </w:rPr>
              <w:t>年暂未复工，未发生支出，无法实现年度目标。</w:t>
            </w:r>
          </w:p>
        </w:tc>
      </w:tr>
      <w:tr w:rsidR="00D56551">
        <w:trPr>
          <w:trHeight w:val="1147"/>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效益指标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社会效益指标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提升川东北医疗服务水平，促进当地居民健康。</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定性</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好坏</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国际医院于</w:t>
            </w:r>
            <w:r>
              <w:rPr>
                <w:rFonts w:ascii="宋体" w:hAnsi="宋体" w:cs="宋体" w:hint="eastAsia"/>
                <w:i/>
                <w:iCs/>
                <w:color w:val="000000"/>
                <w:kern w:val="0"/>
                <w:sz w:val="16"/>
                <w:szCs w:val="16"/>
                <w:lang/>
              </w:rPr>
              <w:t>2021</w:t>
            </w:r>
            <w:r>
              <w:rPr>
                <w:rFonts w:ascii="宋体" w:hAnsi="宋体" w:cs="宋体" w:hint="eastAsia"/>
                <w:i/>
                <w:iCs/>
                <w:color w:val="000000"/>
                <w:kern w:val="0"/>
                <w:sz w:val="16"/>
                <w:szCs w:val="16"/>
                <w:lang/>
              </w:rPr>
              <w:t>年停工，</w:t>
            </w:r>
            <w:r>
              <w:rPr>
                <w:rFonts w:ascii="宋体" w:hAnsi="宋体" w:cs="宋体" w:hint="eastAsia"/>
                <w:i/>
                <w:iCs/>
                <w:color w:val="000000"/>
                <w:kern w:val="0"/>
                <w:sz w:val="16"/>
                <w:szCs w:val="16"/>
                <w:lang/>
              </w:rPr>
              <w:t>2022</w:t>
            </w:r>
            <w:r>
              <w:rPr>
                <w:rFonts w:ascii="宋体" w:hAnsi="宋体" w:cs="宋体" w:hint="eastAsia"/>
                <w:i/>
                <w:iCs/>
                <w:color w:val="000000"/>
                <w:kern w:val="0"/>
                <w:sz w:val="16"/>
                <w:szCs w:val="16"/>
                <w:lang/>
              </w:rPr>
              <w:t>年暂未复工，未发生支出，无法实现年度目标。</w:t>
            </w:r>
          </w:p>
        </w:tc>
      </w:tr>
      <w:tr w:rsidR="00D56551">
        <w:trPr>
          <w:trHeight w:val="1147"/>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满意度指标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服务对象满意度指标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提高医护质量和工作效率，让服务对象满意。</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90</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国际医院于</w:t>
            </w:r>
            <w:r>
              <w:rPr>
                <w:rFonts w:ascii="宋体" w:hAnsi="宋体" w:cs="宋体" w:hint="eastAsia"/>
                <w:i/>
                <w:iCs/>
                <w:color w:val="000000"/>
                <w:kern w:val="0"/>
                <w:sz w:val="16"/>
                <w:szCs w:val="16"/>
                <w:lang/>
              </w:rPr>
              <w:t>2021</w:t>
            </w:r>
            <w:r>
              <w:rPr>
                <w:rFonts w:ascii="宋体" w:hAnsi="宋体" w:cs="宋体" w:hint="eastAsia"/>
                <w:i/>
                <w:iCs/>
                <w:color w:val="000000"/>
                <w:kern w:val="0"/>
                <w:sz w:val="16"/>
                <w:szCs w:val="16"/>
                <w:lang/>
              </w:rPr>
              <w:t>年停工，</w:t>
            </w:r>
            <w:r>
              <w:rPr>
                <w:rFonts w:ascii="宋体" w:hAnsi="宋体" w:cs="宋体" w:hint="eastAsia"/>
                <w:i/>
                <w:iCs/>
                <w:color w:val="000000"/>
                <w:kern w:val="0"/>
                <w:sz w:val="16"/>
                <w:szCs w:val="16"/>
                <w:lang/>
              </w:rPr>
              <w:t>2022</w:t>
            </w:r>
            <w:r>
              <w:rPr>
                <w:rFonts w:ascii="宋体" w:hAnsi="宋体" w:cs="宋体" w:hint="eastAsia"/>
                <w:i/>
                <w:iCs/>
                <w:color w:val="000000"/>
                <w:kern w:val="0"/>
                <w:sz w:val="16"/>
                <w:szCs w:val="16"/>
                <w:lang/>
              </w:rPr>
              <w:t>年暂未复工，未发生支出，无法实现年度目标。</w:t>
            </w:r>
          </w:p>
        </w:tc>
      </w:tr>
      <w:tr w:rsidR="00D56551">
        <w:trPr>
          <w:trHeight w:val="294"/>
        </w:trPr>
        <w:tc>
          <w:tcPr>
            <w:tcW w:w="707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合计</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lastRenderedPageBreak/>
              <w:t>评价结论</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总评分</w:t>
            </w:r>
            <w:r>
              <w:rPr>
                <w:rFonts w:ascii="宋体" w:hAnsi="宋体" w:cs="宋体" w:hint="eastAsia"/>
                <w:i/>
                <w:iCs/>
                <w:color w:val="000000"/>
                <w:kern w:val="0"/>
                <w:sz w:val="16"/>
                <w:szCs w:val="16"/>
                <w:lang/>
              </w:rPr>
              <w:t>0</w:t>
            </w:r>
            <w:r>
              <w:rPr>
                <w:rFonts w:ascii="宋体" w:hAnsi="宋体" w:cs="宋体" w:hint="eastAsia"/>
                <w:i/>
                <w:iCs/>
                <w:color w:val="000000"/>
                <w:kern w:val="0"/>
                <w:sz w:val="16"/>
                <w:szCs w:val="16"/>
                <w:lang/>
              </w:rPr>
              <w:t>分，由于国际医院于</w:t>
            </w:r>
            <w:r>
              <w:rPr>
                <w:rFonts w:ascii="宋体" w:hAnsi="宋体" w:cs="宋体" w:hint="eastAsia"/>
                <w:i/>
                <w:iCs/>
                <w:color w:val="000000"/>
                <w:kern w:val="0"/>
                <w:sz w:val="16"/>
                <w:szCs w:val="16"/>
                <w:lang/>
              </w:rPr>
              <w:t>2021</w:t>
            </w:r>
            <w:r>
              <w:rPr>
                <w:rFonts w:ascii="宋体" w:hAnsi="宋体" w:cs="宋体" w:hint="eastAsia"/>
                <w:i/>
                <w:iCs/>
                <w:color w:val="000000"/>
                <w:kern w:val="0"/>
                <w:sz w:val="16"/>
                <w:szCs w:val="16"/>
                <w:lang/>
              </w:rPr>
              <w:t>年停工，</w:t>
            </w:r>
            <w:r>
              <w:rPr>
                <w:rFonts w:ascii="宋体" w:hAnsi="宋体" w:cs="宋体" w:hint="eastAsia"/>
                <w:i/>
                <w:iCs/>
                <w:color w:val="000000"/>
                <w:kern w:val="0"/>
                <w:sz w:val="16"/>
                <w:szCs w:val="16"/>
                <w:lang/>
              </w:rPr>
              <w:t>2022</w:t>
            </w:r>
            <w:r>
              <w:rPr>
                <w:rFonts w:ascii="宋体" w:hAnsi="宋体" w:cs="宋体" w:hint="eastAsia"/>
                <w:i/>
                <w:iCs/>
                <w:color w:val="000000"/>
                <w:kern w:val="0"/>
                <w:sz w:val="16"/>
                <w:szCs w:val="16"/>
                <w:lang/>
              </w:rPr>
              <w:t>年暂未复工，未发生支出，无法实现年度目标。</w:t>
            </w: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存在问题</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国际医院短时间复工可能性小。</w:t>
            </w: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改进措施</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国际医院短时间复工可能性小，及时收回资金。</w:t>
            </w:r>
          </w:p>
        </w:tc>
      </w:tr>
      <w:tr w:rsidR="00D56551">
        <w:trPr>
          <w:trHeight w:val="294"/>
        </w:trPr>
        <w:tc>
          <w:tcPr>
            <w:tcW w:w="482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项目负责人：何德才</w:t>
            </w:r>
          </w:p>
        </w:tc>
        <w:tc>
          <w:tcPr>
            <w:tcW w:w="479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财务负责人：翟玥</w:t>
            </w:r>
          </w:p>
        </w:tc>
      </w:tr>
      <w:tr w:rsidR="00D56551">
        <w:trPr>
          <w:trHeight w:val="294"/>
        </w:trPr>
        <w:tc>
          <w:tcPr>
            <w:tcW w:w="640"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18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074"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502"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22"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7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01"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7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5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56" w:type="dxa"/>
            <w:tcBorders>
              <w:top w:val="nil"/>
              <w:left w:val="nil"/>
              <w:bottom w:val="nil"/>
              <w:right w:val="nil"/>
            </w:tcBorders>
            <w:shd w:val="clear" w:color="auto" w:fill="auto"/>
            <w:vAlign w:val="center"/>
          </w:tcPr>
          <w:p w:rsidR="00D56551" w:rsidRDefault="00D56551">
            <w:pPr>
              <w:jc w:val="center"/>
              <w:rPr>
                <w:rFonts w:ascii="宋体" w:hAnsi="宋体" w:cs="宋体"/>
                <w:color w:val="000000"/>
                <w:sz w:val="16"/>
                <w:szCs w:val="16"/>
              </w:rPr>
            </w:pPr>
          </w:p>
        </w:tc>
        <w:tc>
          <w:tcPr>
            <w:tcW w:w="1631"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r>
      <w:tr w:rsidR="00D56551">
        <w:trPr>
          <w:trHeight w:val="754"/>
        </w:trPr>
        <w:tc>
          <w:tcPr>
            <w:tcW w:w="962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rPr>
              <w:t>部门预算项目支出绩效自评表（</w:t>
            </w:r>
            <w:r>
              <w:rPr>
                <w:rFonts w:ascii="宋体" w:hAnsi="宋体" w:cs="宋体" w:hint="eastAsia"/>
                <w:b/>
                <w:bCs/>
                <w:color w:val="000000"/>
                <w:kern w:val="0"/>
                <w:sz w:val="16"/>
                <w:szCs w:val="16"/>
                <w:lang/>
              </w:rPr>
              <w:t>2022</w:t>
            </w:r>
            <w:r>
              <w:rPr>
                <w:rFonts w:ascii="宋体" w:hAnsi="宋体" w:cs="宋体" w:hint="eastAsia"/>
                <w:b/>
                <w:bCs/>
                <w:color w:val="000000"/>
                <w:kern w:val="0"/>
                <w:sz w:val="16"/>
                <w:szCs w:val="16"/>
                <w:lang/>
              </w:rPr>
              <w:t>年度）</w:t>
            </w:r>
          </w:p>
        </w:tc>
      </w:tr>
      <w:tr w:rsidR="00D56551">
        <w:trPr>
          <w:trHeight w:val="294"/>
        </w:trPr>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项目名称</w:t>
            </w:r>
          </w:p>
        </w:tc>
        <w:tc>
          <w:tcPr>
            <w:tcW w:w="779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51000021T000000019613-</w:t>
            </w:r>
            <w:r>
              <w:rPr>
                <w:rFonts w:ascii="宋体" w:hAnsi="宋体" w:cs="宋体" w:hint="eastAsia"/>
                <w:color w:val="000000"/>
                <w:kern w:val="0"/>
                <w:sz w:val="16"/>
                <w:szCs w:val="16"/>
                <w:lang/>
              </w:rPr>
              <w:t>科技计划</w:t>
            </w:r>
          </w:p>
        </w:tc>
      </w:tr>
      <w:tr w:rsidR="00D56551">
        <w:trPr>
          <w:trHeight w:val="863"/>
        </w:trPr>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主管部门</w:t>
            </w: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四川省教育厅部门</w:t>
            </w:r>
          </w:p>
        </w:tc>
        <w:tc>
          <w:tcPr>
            <w:tcW w:w="776" w:type="dxa"/>
            <w:tcBorders>
              <w:top w:val="nil"/>
              <w:left w:val="nil"/>
              <w:bottom w:val="nil"/>
              <w:right w:val="nil"/>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实施单位</w:t>
            </w:r>
            <w:r>
              <w:rPr>
                <w:rFonts w:ascii="宋体" w:hAnsi="宋体" w:cs="宋体" w:hint="eastAsia"/>
                <w:color w:val="000000"/>
                <w:kern w:val="0"/>
                <w:sz w:val="16"/>
                <w:szCs w:val="16"/>
                <w:lang/>
              </w:rPr>
              <w:t xml:space="preserve"> </w:t>
            </w:r>
            <w:r>
              <w:rPr>
                <w:rFonts w:ascii="宋体" w:hAnsi="宋体" w:cs="宋体" w:hint="eastAsia"/>
                <w:color w:val="000000"/>
                <w:kern w:val="0"/>
                <w:sz w:val="16"/>
                <w:szCs w:val="16"/>
                <w:lang/>
              </w:rPr>
              <w:t>（盖章）</w:t>
            </w:r>
          </w:p>
        </w:tc>
        <w:tc>
          <w:tcPr>
            <w:tcW w:w="25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川北医学院</w:t>
            </w:r>
          </w:p>
        </w:tc>
      </w:tr>
      <w:tr w:rsidR="00D56551">
        <w:trPr>
          <w:trHeight w:val="294"/>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项目基本情况</w:t>
            </w: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1.</w:t>
            </w:r>
            <w:r>
              <w:rPr>
                <w:rFonts w:ascii="宋体" w:hAnsi="宋体" w:cs="宋体" w:hint="eastAsia"/>
                <w:color w:val="000000"/>
                <w:kern w:val="0"/>
                <w:sz w:val="16"/>
                <w:szCs w:val="16"/>
                <w:lang/>
              </w:rPr>
              <w:t>项目年度目标完成情况</w:t>
            </w: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项目年度目标</w:t>
            </w:r>
          </w:p>
        </w:tc>
        <w:tc>
          <w:tcPr>
            <w:tcW w:w="33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年度目标完成情况</w:t>
            </w:r>
          </w:p>
        </w:tc>
      </w:tr>
      <w:tr w:rsidR="00D56551">
        <w:trPr>
          <w:trHeight w:val="597"/>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按时完成预定论文、专利等成果，按预定标准和时间完成项目，按预定成本完成，无资金浪费，同时产生一定社会效益和经济效益。</w:t>
            </w:r>
          </w:p>
        </w:tc>
        <w:tc>
          <w:tcPr>
            <w:tcW w:w="33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超额完成预定年度成果目标，同时产生了一定社会效益和经济效益。</w:t>
            </w:r>
          </w:p>
        </w:tc>
      </w:tr>
      <w:tr w:rsidR="00D56551">
        <w:trPr>
          <w:trHeight w:val="585"/>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2.</w:t>
            </w:r>
            <w:r>
              <w:rPr>
                <w:rFonts w:ascii="宋体" w:hAnsi="宋体" w:cs="宋体" w:hint="eastAsia"/>
                <w:color w:val="000000"/>
                <w:kern w:val="0"/>
                <w:sz w:val="16"/>
                <w:szCs w:val="16"/>
                <w:lang/>
              </w:rPr>
              <w:t>项目实施内容及过程概述</w:t>
            </w:r>
          </w:p>
        </w:tc>
        <w:tc>
          <w:tcPr>
            <w:tcW w:w="779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按项目任务书年度计划执行。</w:t>
            </w:r>
          </w:p>
        </w:tc>
      </w:tr>
      <w:tr w:rsidR="00D56551">
        <w:trPr>
          <w:trHeight w:val="578"/>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预算执行情况（</w:t>
            </w:r>
            <w:r>
              <w:rPr>
                <w:rFonts w:ascii="宋体" w:hAnsi="宋体" w:cs="宋体" w:hint="eastAsia"/>
                <w:color w:val="000000"/>
                <w:kern w:val="0"/>
                <w:sz w:val="16"/>
                <w:szCs w:val="16"/>
                <w:lang/>
              </w:rPr>
              <w:t>10</w:t>
            </w:r>
            <w:r>
              <w:rPr>
                <w:rFonts w:ascii="宋体" w:hAnsi="宋体" w:cs="宋体" w:hint="eastAsia"/>
                <w:color w:val="000000"/>
                <w:kern w:val="0"/>
                <w:sz w:val="16"/>
                <w:szCs w:val="16"/>
                <w:lang/>
              </w:rPr>
              <w:t>分）</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年度预算数（万元）</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年初预算</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调整后预算数</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预算执行数</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预算执行率</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得分</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原因</w:t>
            </w:r>
          </w:p>
        </w:tc>
      </w:tr>
      <w:tr w:rsidR="00D56551">
        <w:trPr>
          <w:trHeight w:val="339"/>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总额</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93.28</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93.28</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26.28</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28.17%</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w:t>
            </w:r>
          </w:p>
        </w:tc>
        <w:tc>
          <w:tcPr>
            <w:tcW w:w="16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由于科研项目研发周期较长，且研制过程中不确定性较高，所以预算执行率低。</w:t>
            </w:r>
          </w:p>
        </w:tc>
      </w:tr>
      <w:tr w:rsidR="00D56551">
        <w:trPr>
          <w:trHeight w:val="374"/>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其中：财政资金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93.28</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93.28</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26.28</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28.17%</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财政专户管理资金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50"/>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单位资金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32"/>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其他资金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1147"/>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绩效指标（</w:t>
            </w:r>
            <w:r>
              <w:rPr>
                <w:rFonts w:ascii="宋体" w:hAnsi="宋体" w:cs="宋体" w:hint="eastAsia"/>
                <w:color w:val="000000"/>
                <w:kern w:val="0"/>
                <w:sz w:val="16"/>
                <w:szCs w:val="16"/>
                <w:lang/>
              </w:rPr>
              <w:t>90</w:t>
            </w:r>
            <w:r>
              <w:rPr>
                <w:rFonts w:ascii="宋体" w:hAnsi="宋体" w:cs="宋体" w:hint="eastAsia"/>
                <w:color w:val="000000"/>
                <w:kern w:val="0"/>
                <w:sz w:val="16"/>
                <w:szCs w:val="16"/>
                <w:lang/>
              </w:rPr>
              <w:t>分）</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一级指标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二级指标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三级指标</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指标性质</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指标值</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度量单位</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完成值</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得分</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未完成原因分析</w:t>
            </w:r>
          </w:p>
        </w:tc>
      </w:tr>
      <w:tr w:rsidR="00D56551">
        <w:trPr>
          <w:trHeight w:val="299"/>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产出指标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数量指标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论文、专利等数量</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26</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篇</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56</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50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50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效益指标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经济效益指标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产生一定经济效益</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定性</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优良中低差</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良</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社会效益指标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产生一定社会效益</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定性</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优良中低差</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优</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满意度指标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服务对象满意度指标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基层医技和就诊病人反馈</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定性</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优良中低差</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优</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294"/>
        </w:trPr>
        <w:tc>
          <w:tcPr>
            <w:tcW w:w="707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合计</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w:t>
            </w:r>
          </w:p>
        </w:tc>
        <w:tc>
          <w:tcPr>
            <w:tcW w:w="456" w:type="dxa"/>
            <w:tcBorders>
              <w:top w:val="single" w:sz="4" w:space="0" w:color="000000"/>
              <w:left w:val="single" w:sz="4" w:space="0" w:color="000000"/>
              <w:bottom w:val="single" w:sz="4" w:space="0" w:color="000000"/>
              <w:right w:val="single" w:sz="4" w:space="0" w:color="000000"/>
            </w:tcBorders>
            <w:shd w:val="clear" w:color="auto" w:fill="FFF3CA"/>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93</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评价结论</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项目绩效指标完成姣好，超额完成年度目标，预算执行进度慢。</w:t>
            </w: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lastRenderedPageBreak/>
              <w:t>存在问题</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经费执行率偏低。</w:t>
            </w: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改进措施</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督促预算执行。</w:t>
            </w:r>
          </w:p>
        </w:tc>
      </w:tr>
      <w:tr w:rsidR="00D56551">
        <w:trPr>
          <w:trHeight w:val="294"/>
        </w:trPr>
        <w:tc>
          <w:tcPr>
            <w:tcW w:w="482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项目负责人：刘云</w:t>
            </w:r>
          </w:p>
        </w:tc>
        <w:tc>
          <w:tcPr>
            <w:tcW w:w="479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财务负责人：李小华</w:t>
            </w:r>
          </w:p>
        </w:tc>
      </w:tr>
      <w:tr w:rsidR="00D56551">
        <w:trPr>
          <w:trHeight w:val="294"/>
        </w:trPr>
        <w:tc>
          <w:tcPr>
            <w:tcW w:w="640"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18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074"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502"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22"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7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01"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7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5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56" w:type="dxa"/>
            <w:tcBorders>
              <w:top w:val="nil"/>
              <w:left w:val="nil"/>
              <w:bottom w:val="nil"/>
              <w:right w:val="nil"/>
            </w:tcBorders>
            <w:shd w:val="clear" w:color="auto" w:fill="auto"/>
            <w:vAlign w:val="center"/>
          </w:tcPr>
          <w:p w:rsidR="00D56551" w:rsidRDefault="00D56551">
            <w:pPr>
              <w:jc w:val="center"/>
              <w:rPr>
                <w:rFonts w:ascii="宋体" w:hAnsi="宋体" w:cs="宋体"/>
                <w:color w:val="000000"/>
                <w:sz w:val="16"/>
                <w:szCs w:val="16"/>
              </w:rPr>
            </w:pPr>
          </w:p>
        </w:tc>
        <w:tc>
          <w:tcPr>
            <w:tcW w:w="1631"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r>
      <w:tr w:rsidR="00D56551">
        <w:trPr>
          <w:trHeight w:val="754"/>
        </w:trPr>
        <w:tc>
          <w:tcPr>
            <w:tcW w:w="962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rPr>
              <w:t>部门预算项目支出绩效自评表（</w:t>
            </w:r>
            <w:r>
              <w:rPr>
                <w:rFonts w:ascii="宋体" w:hAnsi="宋体" w:cs="宋体" w:hint="eastAsia"/>
                <w:b/>
                <w:bCs/>
                <w:color w:val="000000"/>
                <w:kern w:val="0"/>
                <w:sz w:val="16"/>
                <w:szCs w:val="16"/>
                <w:lang/>
              </w:rPr>
              <w:t>2022</w:t>
            </w:r>
            <w:r>
              <w:rPr>
                <w:rFonts w:ascii="宋体" w:hAnsi="宋体" w:cs="宋体" w:hint="eastAsia"/>
                <w:b/>
                <w:bCs/>
                <w:color w:val="000000"/>
                <w:kern w:val="0"/>
                <w:sz w:val="16"/>
                <w:szCs w:val="16"/>
                <w:lang/>
              </w:rPr>
              <w:t>年度）</w:t>
            </w:r>
          </w:p>
        </w:tc>
      </w:tr>
      <w:tr w:rsidR="00D56551">
        <w:trPr>
          <w:trHeight w:val="294"/>
        </w:trPr>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项目名称</w:t>
            </w:r>
          </w:p>
        </w:tc>
        <w:tc>
          <w:tcPr>
            <w:tcW w:w="779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51000021T000000152016</w:t>
            </w:r>
            <w:r>
              <w:rPr>
                <w:rFonts w:ascii="宋体" w:hAnsi="宋体" w:cs="宋体" w:hint="eastAsia"/>
                <w:color w:val="000000"/>
                <w:kern w:val="0"/>
                <w:sz w:val="16"/>
                <w:szCs w:val="16"/>
                <w:lang/>
              </w:rPr>
              <w:t>高校共建与发展专项资金</w:t>
            </w:r>
          </w:p>
        </w:tc>
      </w:tr>
      <w:tr w:rsidR="00D56551">
        <w:trPr>
          <w:trHeight w:val="863"/>
        </w:trPr>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主管部门</w:t>
            </w: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四川省教育厅部门</w:t>
            </w:r>
          </w:p>
        </w:tc>
        <w:tc>
          <w:tcPr>
            <w:tcW w:w="776" w:type="dxa"/>
            <w:tcBorders>
              <w:top w:val="nil"/>
              <w:left w:val="nil"/>
              <w:bottom w:val="nil"/>
              <w:right w:val="nil"/>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实施单位</w:t>
            </w:r>
            <w:r>
              <w:rPr>
                <w:rFonts w:ascii="宋体" w:hAnsi="宋体" w:cs="宋体" w:hint="eastAsia"/>
                <w:color w:val="000000"/>
                <w:kern w:val="0"/>
                <w:sz w:val="16"/>
                <w:szCs w:val="16"/>
                <w:lang/>
              </w:rPr>
              <w:t xml:space="preserve"> </w:t>
            </w:r>
            <w:r>
              <w:rPr>
                <w:rFonts w:ascii="宋体" w:hAnsi="宋体" w:cs="宋体" w:hint="eastAsia"/>
                <w:color w:val="000000"/>
                <w:kern w:val="0"/>
                <w:sz w:val="16"/>
                <w:szCs w:val="16"/>
                <w:lang/>
              </w:rPr>
              <w:t>（盖章）</w:t>
            </w:r>
          </w:p>
        </w:tc>
        <w:tc>
          <w:tcPr>
            <w:tcW w:w="25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川北医学院</w:t>
            </w:r>
          </w:p>
        </w:tc>
      </w:tr>
      <w:tr w:rsidR="00D56551">
        <w:trPr>
          <w:trHeight w:val="294"/>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项目基本情况</w:t>
            </w: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1.</w:t>
            </w:r>
            <w:r>
              <w:rPr>
                <w:rFonts w:ascii="宋体" w:hAnsi="宋体" w:cs="宋体" w:hint="eastAsia"/>
                <w:color w:val="000000"/>
                <w:kern w:val="0"/>
                <w:sz w:val="16"/>
                <w:szCs w:val="16"/>
                <w:lang/>
              </w:rPr>
              <w:t>项目年度目标完成情况</w:t>
            </w: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项目年度目标</w:t>
            </w:r>
          </w:p>
        </w:tc>
        <w:tc>
          <w:tcPr>
            <w:tcW w:w="33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年度目标完成情况</w:t>
            </w:r>
          </w:p>
        </w:tc>
      </w:tr>
      <w:tr w:rsidR="00D56551">
        <w:trPr>
          <w:trHeight w:val="597"/>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改善校园环境，提升学习激情，全面提升我校人才培养综合实力。</w:t>
            </w:r>
          </w:p>
        </w:tc>
        <w:tc>
          <w:tcPr>
            <w:tcW w:w="33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电力增容项目已完成，改善了学生住宿环境，提升了学生满意度。</w:t>
            </w:r>
          </w:p>
        </w:tc>
      </w:tr>
      <w:tr w:rsidR="00D56551">
        <w:trPr>
          <w:trHeight w:val="585"/>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2.</w:t>
            </w:r>
            <w:r>
              <w:rPr>
                <w:rFonts w:ascii="宋体" w:hAnsi="宋体" w:cs="宋体" w:hint="eastAsia"/>
                <w:color w:val="000000"/>
                <w:kern w:val="0"/>
                <w:sz w:val="16"/>
                <w:szCs w:val="16"/>
                <w:lang/>
              </w:rPr>
              <w:t>项目实施内容及过程概述</w:t>
            </w:r>
          </w:p>
        </w:tc>
        <w:tc>
          <w:tcPr>
            <w:tcW w:w="779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对电力进行增容，并对线路进行改造，已完成，改善了学生住宿环境，提升了在校生的满意度。</w:t>
            </w:r>
          </w:p>
        </w:tc>
      </w:tr>
      <w:tr w:rsidR="00D56551">
        <w:trPr>
          <w:trHeight w:val="578"/>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预算执行情况（</w:t>
            </w:r>
            <w:r>
              <w:rPr>
                <w:rFonts w:ascii="宋体" w:hAnsi="宋体" w:cs="宋体" w:hint="eastAsia"/>
                <w:color w:val="000000"/>
                <w:kern w:val="0"/>
                <w:sz w:val="16"/>
                <w:szCs w:val="16"/>
                <w:lang/>
              </w:rPr>
              <w:t>10</w:t>
            </w:r>
            <w:r>
              <w:rPr>
                <w:rFonts w:ascii="宋体" w:hAnsi="宋体" w:cs="宋体" w:hint="eastAsia"/>
                <w:color w:val="000000"/>
                <w:kern w:val="0"/>
                <w:sz w:val="16"/>
                <w:szCs w:val="16"/>
                <w:lang/>
              </w:rPr>
              <w:t>分）</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年度预算数（万元）</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年初预算</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调整后预算数</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预算执行数</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预算执行率</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得分</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原因</w:t>
            </w:r>
          </w:p>
        </w:tc>
      </w:tr>
      <w:tr w:rsidR="00D56551">
        <w:trPr>
          <w:trHeight w:val="339"/>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总额</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831.83</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831.83</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799.10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96.07%</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16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74"/>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其中：财政资金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831.83</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831.83</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799.10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96.07%</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财政专户管理资金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50"/>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单位资金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32"/>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其他资金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1147"/>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绩效指标（</w:t>
            </w:r>
            <w:r>
              <w:rPr>
                <w:rFonts w:ascii="宋体" w:hAnsi="宋体" w:cs="宋体" w:hint="eastAsia"/>
                <w:color w:val="000000"/>
                <w:kern w:val="0"/>
                <w:sz w:val="16"/>
                <w:szCs w:val="16"/>
                <w:lang/>
              </w:rPr>
              <w:t>90</w:t>
            </w:r>
            <w:r>
              <w:rPr>
                <w:rFonts w:ascii="宋体" w:hAnsi="宋体" w:cs="宋体" w:hint="eastAsia"/>
                <w:color w:val="000000"/>
                <w:kern w:val="0"/>
                <w:sz w:val="16"/>
                <w:szCs w:val="16"/>
                <w:lang/>
              </w:rPr>
              <w:t>分）</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一级指标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二级指标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三级指标</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指标性质</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指标值</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度量单位</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完成值</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得分</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未完成原因分析</w:t>
            </w: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产出指标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数量指标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电力增容及线路进行改造</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项</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1</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时效指标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2022</w:t>
            </w:r>
            <w:r>
              <w:rPr>
                <w:rFonts w:ascii="宋体" w:hAnsi="宋体" w:cs="宋体" w:hint="eastAsia"/>
                <w:color w:val="000000"/>
                <w:kern w:val="0"/>
                <w:sz w:val="16"/>
                <w:szCs w:val="16"/>
                <w:lang/>
              </w:rPr>
              <w:t>年</w:t>
            </w:r>
            <w:r>
              <w:rPr>
                <w:rFonts w:ascii="宋体" w:hAnsi="宋体" w:cs="宋体" w:hint="eastAsia"/>
                <w:color w:val="000000"/>
                <w:kern w:val="0"/>
                <w:sz w:val="16"/>
                <w:szCs w:val="16"/>
                <w:lang/>
              </w:rPr>
              <w:t>12</w:t>
            </w:r>
            <w:r>
              <w:rPr>
                <w:rFonts w:ascii="宋体" w:hAnsi="宋体" w:cs="宋体" w:hint="eastAsia"/>
                <w:color w:val="000000"/>
                <w:kern w:val="0"/>
                <w:sz w:val="16"/>
                <w:szCs w:val="16"/>
                <w:lang/>
              </w:rPr>
              <w:t>月</w:t>
            </w:r>
            <w:r>
              <w:rPr>
                <w:rFonts w:ascii="宋体" w:hAnsi="宋体" w:cs="宋体" w:hint="eastAsia"/>
                <w:color w:val="000000"/>
                <w:kern w:val="0"/>
                <w:sz w:val="16"/>
                <w:szCs w:val="16"/>
                <w:lang/>
              </w:rPr>
              <w:t>31</w:t>
            </w:r>
            <w:r>
              <w:rPr>
                <w:rFonts w:ascii="宋体" w:hAnsi="宋体" w:cs="宋体" w:hint="eastAsia"/>
                <w:color w:val="000000"/>
                <w:kern w:val="0"/>
                <w:sz w:val="16"/>
                <w:szCs w:val="16"/>
                <w:lang/>
              </w:rPr>
              <w:t>日之前</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863"/>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效益指标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可持续发展指标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改善学生住宿环境，提升学习激情，增加对学校粘度。</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定性</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优良中低差</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项</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良</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满意度指标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服务对象满意度指标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学生满意度</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90</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294"/>
        </w:trPr>
        <w:tc>
          <w:tcPr>
            <w:tcW w:w="707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合计</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评价结论</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电力进行了增容，线路进行了改造，综合评分自评打分</w:t>
            </w:r>
            <w:r>
              <w:rPr>
                <w:rFonts w:ascii="宋体" w:hAnsi="宋体" w:cs="宋体" w:hint="eastAsia"/>
                <w:i/>
                <w:iCs/>
                <w:color w:val="000000"/>
                <w:kern w:val="0"/>
                <w:sz w:val="16"/>
                <w:szCs w:val="16"/>
                <w:lang/>
              </w:rPr>
              <w:t>100</w:t>
            </w:r>
            <w:r>
              <w:rPr>
                <w:rFonts w:ascii="宋体" w:hAnsi="宋体" w:cs="宋体" w:hint="eastAsia"/>
                <w:i/>
                <w:iCs/>
                <w:color w:val="000000"/>
                <w:kern w:val="0"/>
                <w:sz w:val="16"/>
                <w:szCs w:val="16"/>
                <w:lang/>
              </w:rPr>
              <w:t>分，改善学生住宿环境，提升了学生满意度。</w:t>
            </w: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lastRenderedPageBreak/>
              <w:t>存在问题</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资金执行率</w:t>
            </w:r>
            <w:r>
              <w:rPr>
                <w:rFonts w:ascii="宋体" w:hAnsi="宋体" w:cs="宋体" w:hint="eastAsia"/>
                <w:i/>
                <w:iCs/>
                <w:color w:val="000000"/>
                <w:kern w:val="0"/>
                <w:sz w:val="16"/>
                <w:szCs w:val="16"/>
                <w:lang/>
              </w:rPr>
              <w:t>96.07%</w:t>
            </w:r>
            <w:r>
              <w:rPr>
                <w:rFonts w:ascii="宋体" w:hAnsi="宋体" w:cs="宋体" w:hint="eastAsia"/>
                <w:i/>
                <w:iCs/>
                <w:color w:val="000000"/>
                <w:kern w:val="0"/>
                <w:sz w:val="16"/>
                <w:szCs w:val="16"/>
                <w:lang/>
              </w:rPr>
              <w:t>，实际招标合同支付金额与立项金额有偏差。</w:t>
            </w: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改进措施</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提高立项前预算金额准确性，减少资金结余，提高资金使用效益。</w:t>
            </w:r>
          </w:p>
        </w:tc>
      </w:tr>
      <w:tr w:rsidR="00D56551">
        <w:trPr>
          <w:trHeight w:val="294"/>
        </w:trPr>
        <w:tc>
          <w:tcPr>
            <w:tcW w:w="482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项目负责人：代成书</w:t>
            </w:r>
          </w:p>
        </w:tc>
        <w:tc>
          <w:tcPr>
            <w:tcW w:w="479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财务负责人：李小华</w:t>
            </w:r>
          </w:p>
        </w:tc>
      </w:tr>
      <w:tr w:rsidR="00D56551">
        <w:trPr>
          <w:trHeight w:val="294"/>
        </w:trPr>
        <w:tc>
          <w:tcPr>
            <w:tcW w:w="640"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18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074"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502"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22"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7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01"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7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5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56" w:type="dxa"/>
            <w:tcBorders>
              <w:top w:val="nil"/>
              <w:left w:val="nil"/>
              <w:bottom w:val="nil"/>
              <w:right w:val="nil"/>
            </w:tcBorders>
            <w:shd w:val="clear" w:color="auto" w:fill="auto"/>
            <w:vAlign w:val="center"/>
          </w:tcPr>
          <w:p w:rsidR="00D56551" w:rsidRDefault="00D56551">
            <w:pPr>
              <w:jc w:val="center"/>
              <w:rPr>
                <w:rFonts w:ascii="宋体" w:hAnsi="宋体" w:cs="宋体"/>
                <w:color w:val="000000"/>
                <w:sz w:val="16"/>
                <w:szCs w:val="16"/>
              </w:rPr>
            </w:pPr>
          </w:p>
        </w:tc>
        <w:tc>
          <w:tcPr>
            <w:tcW w:w="1631"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r>
      <w:tr w:rsidR="00D56551">
        <w:trPr>
          <w:trHeight w:val="754"/>
        </w:trPr>
        <w:tc>
          <w:tcPr>
            <w:tcW w:w="962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rPr>
              <w:t>部门预算项目支出绩效自评表（</w:t>
            </w:r>
            <w:r>
              <w:rPr>
                <w:rFonts w:ascii="宋体" w:hAnsi="宋体" w:cs="宋体" w:hint="eastAsia"/>
                <w:b/>
                <w:bCs/>
                <w:color w:val="000000"/>
                <w:kern w:val="0"/>
                <w:sz w:val="16"/>
                <w:szCs w:val="16"/>
                <w:lang/>
              </w:rPr>
              <w:t>2022</w:t>
            </w:r>
            <w:r>
              <w:rPr>
                <w:rFonts w:ascii="宋体" w:hAnsi="宋体" w:cs="宋体" w:hint="eastAsia"/>
                <w:b/>
                <w:bCs/>
                <w:color w:val="000000"/>
                <w:kern w:val="0"/>
                <w:sz w:val="16"/>
                <w:szCs w:val="16"/>
                <w:lang/>
              </w:rPr>
              <w:t>年度）</w:t>
            </w:r>
          </w:p>
        </w:tc>
      </w:tr>
      <w:tr w:rsidR="00D56551">
        <w:trPr>
          <w:trHeight w:val="294"/>
        </w:trPr>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项目名称</w:t>
            </w:r>
          </w:p>
        </w:tc>
        <w:tc>
          <w:tcPr>
            <w:tcW w:w="779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51000022T000000366415-</w:t>
            </w:r>
            <w:r>
              <w:rPr>
                <w:rFonts w:ascii="宋体" w:hAnsi="宋体" w:cs="宋体" w:hint="eastAsia"/>
                <w:color w:val="000000"/>
                <w:kern w:val="0"/>
                <w:sz w:val="16"/>
                <w:szCs w:val="16"/>
                <w:lang/>
              </w:rPr>
              <w:t>贷款还本付息</w:t>
            </w:r>
            <w:r>
              <w:rPr>
                <w:rFonts w:ascii="宋体" w:hAnsi="宋体" w:cs="宋体" w:hint="eastAsia"/>
                <w:color w:val="000000"/>
                <w:kern w:val="0"/>
                <w:sz w:val="16"/>
                <w:szCs w:val="16"/>
                <w:lang/>
              </w:rPr>
              <w:t>-</w:t>
            </w:r>
            <w:r>
              <w:rPr>
                <w:rFonts w:ascii="宋体" w:hAnsi="宋体" w:cs="宋体" w:hint="eastAsia"/>
                <w:color w:val="000000"/>
                <w:kern w:val="0"/>
                <w:sz w:val="16"/>
                <w:szCs w:val="16"/>
                <w:lang/>
              </w:rPr>
              <w:t>川北医学院</w:t>
            </w:r>
          </w:p>
        </w:tc>
      </w:tr>
      <w:tr w:rsidR="00D56551">
        <w:trPr>
          <w:trHeight w:val="863"/>
        </w:trPr>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主管部门</w:t>
            </w: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四川省教育厅部门</w:t>
            </w:r>
          </w:p>
        </w:tc>
        <w:tc>
          <w:tcPr>
            <w:tcW w:w="776" w:type="dxa"/>
            <w:tcBorders>
              <w:top w:val="nil"/>
              <w:left w:val="nil"/>
              <w:bottom w:val="nil"/>
              <w:right w:val="nil"/>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实施单位</w:t>
            </w:r>
            <w:r>
              <w:rPr>
                <w:rFonts w:ascii="宋体" w:hAnsi="宋体" w:cs="宋体" w:hint="eastAsia"/>
                <w:color w:val="000000"/>
                <w:kern w:val="0"/>
                <w:sz w:val="16"/>
                <w:szCs w:val="16"/>
                <w:lang/>
              </w:rPr>
              <w:t xml:space="preserve"> </w:t>
            </w:r>
            <w:r>
              <w:rPr>
                <w:rFonts w:ascii="宋体" w:hAnsi="宋体" w:cs="宋体" w:hint="eastAsia"/>
                <w:color w:val="000000"/>
                <w:kern w:val="0"/>
                <w:sz w:val="16"/>
                <w:szCs w:val="16"/>
                <w:lang/>
              </w:rPr>
              <w:t>（盖章）</w:t>
            </w:r>
          </w:p>
        </w:tc>
        <w:tc>
          <w:tcPr>
            <w:tcW w:w="25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川北医学院</w:t>
            </w:r>
          </w:p>
        </w:tc>
      </w:tr>
      <w:tr w:rsidR="00D56551">
        <w:trPr>
          <w:trHeight w:val="294"/>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项目基本情况</w:t>
            </w: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1.</w:t>
            </w:r>
            <w:r>
              <w:rPr>
                <w:rFonts w:ascii="宋体" w:hAnsi="宋体" w:cs="宋体" w:hint="eastAsia"/>
                <w:color w:val="000000"/>
                <w:kern w:val="0"/>
                <w:sz w:val="16"/>
                <w:szCs w:val="16"/>
                <w:lang/>
              </w:rPr>
              <w:t>项目年度目标完成情况</w:t>
            </w: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项目年度目标</w:t>
            </w:r>
          </w:p>
        </w:tc>
        <w:tc>
          <w:tcPr>
            <w:tcW w:w="33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年度目标完成情况</w:t>
            </w:r>
          </w:p>
        </w:tc>
      </w:tr>
      <w:tr w:rsidR="00D56551">
        <w:trPr>
          <w:trHeight w:val="597"/>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根据与建设银行的借款合同约定，在</w:t>
            </w:r>
            <w:r>
              <w:rPr>
                <w:rFonts w:ascii="宋体" w:hAnsi="宋体" w:cs="宋体" w:hint="eastAsia"/>
                <w:color w:val="000000"/>
                <w:kern w:val="0"/>
                <w:sz w:val="16"/>
                <w:szCs w:val="16"/>
                <w:lang/>
              </w:rPr>
              <w:t>2022</w:t>
            </w:r>
            <w:r>
              <w:rPr>
                <w:rFonts w:ascii="宋体" w:hAnsi="宋体" w:cs="宋体" w:hint="eastAsia"/>
                <w:color w:val="000000"/>
                <w:kern w:val="0"/>
                <w:sz w:val="16"/>
                <w:szCs w:val="16"/>
                <w:lang/>
              </w:rPr>
              <w:t>年年底完成利息支付以及本金偿还，提升学校信用等级。</w:t>
            </w:r>
          </w:p>
        </w:tc>
        <w:tc>
          <w:tcPr>
            <w:tcW w:w="33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根据与建设银行借款合同约定，已按期偿还贷款本息，提升信用等级。</w:t>
            </w:r>
          </w:p>
        </w:tc>
      </w:tr>
      <w:tr w:rsidR="00D56551">
        <w:trPr>
          <w:trHeight w:val="585"/>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2.</w:t>
            </w:r>
            <w:r>
              <w:rPr>
                <w:rFonts w:ascii="宋体" w:hAnsi="宋体" w:cs="宋体" w:hint="eastAsia"/>
                <w:color w:val="000000"/>
                <w:kern w:val="0"/>
                <w:sz w:val="16"/>
                <w:szCs w:val="16"/>
                <w:lang/>
              </w:rPr>
              <w:t>项目实施内容及过程概述</w:t>
            </w:r>
          </w:p>
        </w:tc>
        <w:tc>
          <w:tcPr>
            <w:tcW w:w="779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根据合同约定，</w:t>
            </w:r>
            <w:r>
              <w:rPr>
                <w:rFonts w:ascii="宋体" w:hAnsi="宋体" w:cs="宋体" w:hint="eastAsia"/>
                <w:color w:val="000000"/>
                <w:kern w:val="0"/>
                <w:sz w:val="16"/>
                <w:szCs w:val="16"/>
                <w:lang/>
              </w:rPr>
              <w:t>2002</w:t>
            </w:r>
            <w:r>
              <w:rPr>
                <w:rFonts w:ascii="宋体" w:hAnsi="宋体" w:cs="宋体" w:hint="eastAsia"/>
                <w:color w:val="000000"/>
                <w:kern w:val="0"/>
                <w:sz w:val="16"/>
                <w:szCs w:val="16"/>
                <w:lang/>
              </w:rPr>
              <w:t>年按期偿还银行贷款本金及利息。</w:t>
            </w:r>
          </w:p>
        </w:tc>
      </w:tr>
      <w:tr w:rsidR="00D56551">
        <w:trPr>
          <w:trHeight w:val="578"/>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预算执行情况（</w:t>
            </w:r>
            <w:r>
              <w:rPr>
                <w:rFonts w:ascii="宋体" w:hAnsi="宋体" w:cs="宋体" w:hint="eastAsia"/>
                <w:color w:val="000000"/>
                <w:kern w:val="0"/>
                <w:sz w:val="16"/>
                <w:szCs w:val="16"/>
                <w:lang/>
              </w:rPr>
              <w:t>10</w:t>
            </w:r>
            <w:r>
              <w:rPr>
                <w:rFonts w:ascii="宋体" w:hAnsi="宋体" w:cs="宋体" w:hint="eastAsia"/>
                <w:color w:val="000000"/>
                <w:kern w:val="0"/>
                <w:sz w:val="16"/>
                <w:szCs w:val="16"/>
                <w:lang/>
              </w:rPr>
              <w:t>分）</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年度预算数（万元）</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年初预算</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调整后预算数</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预算执行数</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预算执行率</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得分</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原因</w:t>
            </w:r>
          </w:p>
        </w:tc>
      </w:tr>
      <w:tr w:rsidR="00D56551">
        <w:trPr>
          <w:trHeight w:val="339"/>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总额</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4,400.00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4,400.00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4,378.38</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99.51%</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16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74"/>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其中：财政资金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财政专户管理资金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78.38</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78.38%</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50"/>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单位资金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4,200.00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4,200.00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4,200.00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32"/>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其他资金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1147"/>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绩效指标（</w:t>
            </w:r>
            <w:r>
              <w:rPr>
                <w:rFonts w:ascii="宋体" w:hAnsi="宋体" w:cs="宋体" w:hint="eastAsia"/>
                <w:color w:val="000000"/>
                <w:kern w:val="0"/>
                <w:sz w:val="16"/>
                <w:szCs w:val="16"/>
                <w:lang/>
              </w:rPr>
              <w:t>90</w:t>
            </w:r>
            <w:r>
              <w:rPr>
                <w:rFonts w:ascii="宋体" w:hAnsi="宋体" w:cs="宋体" w:hint="eastAsia"/>
                <w:color w:val="000000"/>
                <w:kern w:val="0"/>
                <w:sz w:val="16"/>
                <w:szCs w:val="16"/>
                <w:lang/>
              </w:rPr>
              <w:t>分）</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一级指标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二级指标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三级指标</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指标性质</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指标值</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度量单位</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完成值</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得分</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未完成原因分析</w:t>
            </w:r>
          </w:p>
        </w:tc>
      </w:tr>
      <w:tr w:rsidR="00D56551">
        <w:trPr>
          <w:trHeight w:val="299"/>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产出指标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数量指标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偿还贷款本金及利息</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4400</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万元</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 xml:space="preserve">4378.38 </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299"/>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时效指标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截止</w:t>
            </w:r>
            <w:r>
              <w:rPr>
                <w:rFonts w:ascii="宋体" w:hAnsi="宋体" w:cs="宋体" w:hint="eastAsia"/>
                <w:color w:val="000000"/>
                <w:kern w:val="0"/>
                <w:sz w:val="16"/>
                <w:szCs w:val="16"/>
                <w:lang/>
              </w:rPr>
              <w:t>2022</w:t>
            </w:r>
            <w:r>
              <w:rPr>
                <w:rFonts w:ascii="宋体" w:hAnsi="宋体" w:cs="宋体" w:hint="eastAsia"/>
                <w:color w:val="000000"/>
                <w:kern w:val="0"/>
                <w:sz w:val="16"/>
                <w:szCs w:val="16"/>
                <w:lang/>
              </w:rPr>
              <w:t>年年底完成</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100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效益指标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经济效益指标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减少学校负债，提高学校信用等级。</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100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生态效益指标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资金用于提升校园建设。</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定性</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优良中低差</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万元</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良</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299"/>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满意度指标</w:t>
            </w:r>
          </w:p>
        </w:tc>
        <w:tc>
          <w:tcPr>
            <w:tcW w:w="10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服务对象满意度指标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学生教师满意度</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95</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95</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5</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5</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863"/>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提升川北医在川北地区的信誉，服务地方，让人民满意。</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90</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90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5</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5</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294"/>
        </w:trPr>
        <w:tc>
          <w:tcPr>
            <w:tcW w:w="707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合计</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lastRenderedPageBreak/>
              <w:t>评价结论</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自评</w:t>
            </w:r>
            <w:r>
              <w:rPr>
                <w:rFonts w:ascii="宋体" w:hAnsi="宋体" w:cs="宋体" w:hint="eastAsia"/>
                <w:i/>
                <w:iCs/>
                <w:color w:val="000000"/>
                <w:kern w:val="0"/>
                <w:sz w:val="16"/>
                <w:szCs w:val="16"/>
                <w:lang/>
              </w:rPr>
              <w:t>100</w:t>
            </w:r>
            <w:r>
              <w:rPr>
                <w:rFonts w:ascii="宋体" w:hAnsi="宋体" w:cs="宋体" w:hint="eastAsia"/>
                <w:i/>
                <w:iCs/>
                <w:color w:val="000000"/>
                <w:kern w:val="0"/>
                <w:sz w:val="16"/>
                <w:szCs w:val="16"/>
                <w:lang/>
              </w:rPr>
              <w:t>分，按贷款合同约定，如期偿还贷款本金及利息，减少学校负债，提升学校公信力。</w:t>
            </w: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存在问题</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无</w:t>
            </w: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改进措施</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无</w:t>
            </w:r>
          </w:p>
        </w:tc>
      </w:tr>
      <w:tr w:rsidR="00D56551">
        <w:trPr>
          <w:trHeight w:val="294"/>
        </w:trPr>
        <w:tc>
          <w:tcPr>
            <w:tcW w:w="482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项目负责人：李小华</w:t>
            </w:r>
          </w:p>
        </w:tc>
        <w:tc>
          <w:tcPr>
            <w:tcW w:w="479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财务负责人：李小华</w:t>
            </w:r>
          </w:p>
        </w:tc>
      </w:tr>
      <w:tr w:rsidR="00D56551">
        <w:trPr>
          <w:trHeight w:val="294"/>
        </w:trPr>
        <w:tc>
          <w:tcPr>
            <w:tcW w:w="640"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18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074"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502"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22"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7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01"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7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5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56" w:type="dxa"/>
            <w:tcBorders>
              <w:top w:val="nil"/>
              <w:left w:val="nil"/>
              <w:bottom w:val="nil"/>
              <w:right w:val="nil"/>
            </w:tcBorders>
            <w:shd w:val="clear" w:color="auto" w:fill="auto"/>
            <w:vAlign w:val="center"/>
          </w:tcPr>
          <w:p w:rsidR="00D56551" w:rsidRDefault="00D56551">
            <w:pPr>
              <w:jc w:val="center"/>
              <w:rPr>
                <w:rFonts w:ascii="宋体" w:hAnsi="宋体" w:cs="宋体"/>
                <w:color w:val="000000"/>
                <w:sz w:val="16"/>
                <w:szCs w:val="16"/>
              </w:rPr>
            </w:pPr>
          </w:p>
        </w:tc>
        <w:tc>
          <w:tcPr>
            <w:tcW w:w="1631"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r>
      <w:tr w:rsidR="00D56551">
        <w:trPr>
          <w:trHeight w:val="754"/>
        </w:trPr>
        <w:tc>
          <w:tcPr>
            <w:tcW w:w="962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rPr>
              <w:t>部门预算项目支出绩效自评表（</w:t>
            </w:r>
            <w:r>
              <w:rPr>
                <w:rFonts w:ascii="宋体" w:hAnsi="宋体" w:cs="宋体" w:hint="eastAsia"/>
                <w:b/>
                <w:bCs/>
                <w:color w:val="000000"/>
                <w:kern w:val="0"/>
                <w:sz w:val="16"/>
                <w:szCs w:val="16"/>
                <w:lang/>
              </w:rPr>
              <w:t>2022</w:t>
            </w:r>
            <w:r>
              <w:rPr>
                <w:rFonts w:ascii="宋体" w:hAnsi="宋体" w:cs="宋体" w:hint="eastAsia"/>
                <w:b/>
                <w:bCs/>
                <w:color w:val="000000"/>
                <w:kern w:val="0"/>
                <w:sz w:val="16"/>
                <w:szCs w:val="16"/>
                <w:lang/>
              </w:rPr>
              <w:t>年度）</w:t>
            </w:r>
          </w:p>
        </w:tc>
      </w:tr>
      <w:tr w:rsidR="00D56551">
        <w:trPr>
          <w:trHeight w:val="294"/>
        </w:trPr>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项目名称</w:t>
            </w:r>
          </w:p>
        </w:tc>
        <w:tc>
          <w:tcPr>
            <w:tcW w:w="779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51000022T000000366424-</w:t>
            </w:r>
            <w:r>
              <w:rPr>
                <w:rFonts w:ascii="宋体" w:hAnsi="宋体" w:cs="宋体" w:hint="eastAsia"/>
                <w:color w:val="000000"/>
                <w:kern w:val="0"/>
                <w:sz w:val="16"/>
                <w:szCs w:val="16"/>
                <w:lang/>
              </w:rPr>
              <w:t>学生资助经费</w:t>
            </w:r>
            <w:r>
              <w:rPr>
                <w:rFonts w:ascii="宋体" w:hAnsi="宋体" w:cs="宋体" w:hint="eastAsia"/>
                <w:color w:val="000000"/>
                <w:kern w:val="0"/>
                <w:sz w:val="16"/>
                <w:szCs w:val="16"/>
                <w:lang/>
              </w:rPr>
              <w:t>-</w:t>
            </w:r>
            <w:r>
              <w:rPr>
                <w:rFonts w:ascii="宋体" w:hAnsi="宋体" w:cs="宋体" w:hint="eastAsia"/>
                <w:color w:val="000000"/>
                <w:kern w:val="0"/>
                <w:sz w:val="16"/>
                <w:szCs w:val="16"/>
                <w:lang/>
              </w:rPr>
              <w:t>川北医学院</w:t>
            </w:r>
          </w:p>
        </w:tc>
      </w:tr>
      <w:tr w:rsidR="00D56551">
        <w:trPr>
          <w:trHeight w:val="863"/>
        </w:trPr>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主管部门</w:t>
            </w: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四川省教育厅部门</w:t>
            </w:r>
          </w:p>
        </w:tc>
        <w:tc>
          <w:tcPr>
            <w:tcW w:w="776" w:type="dxa"/>
            <w:tcBorders>
              <w:top w:val="nil"/>
              <w:left w:val="nil"/>
              <w:bottom w:val="nil"/>
              <w:right w:val="nil"/>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实施单位</w:t>
            </w:r>
            <w:r>
              <w:rPr>
                <w:rFonts w:ascii="宋体" w:hAnsi="宋体" w:cs="宋体" w:hint="eastAsia"/>
                <w:color w:val="000000"/>
                <w:kern w:val="0"/>
                <w:sz w:val="16"/>
                <w:szCs w:val="16"/>
                <w:lang/>
              </w:rPr>
              <w:t xml:space="preserve"> </w:t>
            </w:r>
            <w:r>
              <w:rPr>
                <w:rFonts w:ascii="宋体" w:hAnsi="宋体" w:cs="宋体" w:hint="eastAsia"/>
                <w:color w:val="000000"/>
                <w:kern w:val="0"/>
                <w:sz w:val="16"/>
                <w:szCs w:val="16"/>
                <w:lang/>
              </w:rPr>
              <w:t>（盖章）</w:t>
            </w:r>
          </w:p>
        </w:tc>
        <w:tc>
          <w:tcPr>
            <w:tcW w:w="25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川北医学院</w:t>
            </w:r>
          </w:p>
        </w:tc>
      </w:tr>
      <w:tr w:rsidR="00D56551">
        <w:trPr>
          <w:trHeight w:val="294"/>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项目基本情况</w:t>
            </w: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1.</w:t>
            </w:r>
            <w:r>
              <w:rPr>
                <w:rFonts w:ascii="宋体" w:hAnsi="宋体" w:cs="宋体" w:hint="eastAsia"/>
                <w:color w:val="000000"/>
                <w:kern w:val="0"/>
                <w:sz w:val="16"/>
                <w:szCs w:val="16"/>
                <w:lang/>
              </w:rPr>
              <w:t>项目年度目标完成情况</w:t>
            </w: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项目年度目标</w:t>
            </w:r>
          </w:p>
        </w:tc>
        <w:tc>
          <w:tcPr>
            <w:tcW w:w="33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年度目标完成情况</w:t>
            </w:r>
          </w:p>
        </w:tc>
      </w:tr>
      <w:tr w:rsidR="00D56551">
        <w:trPr>
          <w:trHeight w:val="597"/>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保障本校学生国家奖助学金、服务义务兵役教育资助的足额、准确、及时发放。</w:t>
            </w:r>
          </w:p>
        </w:tc>
        <w:tc>
          <w:tcPr>
            <w:tcW w:w="33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保障本校学生国家奖助学金、服务义务兵役教育资助的足额、准确、及时发放。</w:t>
            </w:r>
          </w:p>
        </w:tc>
      </w:tr>
      <w:tr w:rsidR="00D56551">
        <w:trPr>
          <w:trHeight w:val="585"/>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2.</w:t>
            </w:r>
            <w:r>
              <w:rPr>
                <w:rFonts w:ascii="宋体" w:hAnsi="宋体" w:cs="宋体" w:hint="eastAsia"/>
                <w:color w:val="000000"/>
                <w:kern w:val="0"/>
                <w:sz w:val="16"/>
                <w:szCs w:val="16"/>
                <w:lang/>
              </w:rPr>
              <w:t>项目实施内容及过程概述</w:t>
            </w:r>
          </w:p>
        </w:tc>
        <w:tc>
          <w:tcPr>
            <w:tcW w:w="779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根据《学生资助资金管理办法》和《四川省关于做好</w:t>
            </w:r>
            <w:r>
              <w:rPr>
                <w:rFonts w:ascii="宋体" w:hAnsi="宋体" w:cs="宋体" w:hint="eastAsia"/>
                <w:color w:val="000000"/>
                <w:kern w:val="0"/>
                <w:sz w:val="16"/>
                <w:szCs w:val="16"/>
                <w:lang/>
              </w:rPr>
              <w:t>2022</w:t>
            </w:r>
            <w:r>
              <w:rPr>
                <w:rFonts w:ascii="宋体" w:hAnsi="宋体" w:cs="宋体" w:hint="eastAsia"/>
                <w:color w:val="000000"/>
                <w:kern w:val="0"/>
                <w:sz w:val="16"/>
                <w:szCs w:val="16"/>
                <w:lang/>
              </w:rPr>
              <w:t>年高校国家奖助学金评审工作的通知》等文件，进行评选，确保国家奖助金、服务义务兵役，按绩效目标足额发放、准确发放、按时发放。</w:t>
            </w:r>
          </w:p>
        </w:tc>
      </w:tr>
      <w:tr w:rsidR="00D56551">
        <w:trPr>
          <w:trHeight w:val="578"/>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预算执行情况（</w:t>
            </w:r>
            <w:r>
              <w:rPr>
                <w:rFonts w:ascii="宋体" w:hAnsi="宋体" w:cs="宋体" w:hint="eastAsia"/>
                <w:color w:val="000000"/>
                <w:kern w:val="0"/>
                <w:sz w:val="16"/>
                <w:szCs w:val="16"/>
                <w:lang/>
              </w:rPr>
              <w:t>10</w:t>
            </w:r>
            <w:r>
              <w:rPr>
                <w:rFonts w:ascii="宋体" w:hAnsi="宋体" w:cs="宋体" w:hint="eastAsia"/>
                <w:color w:val="000000"/>
                <w:kern w:val="0"/>
                <w:sz w:val="16"/>
                <w:szCs w:val="16"/>
                <w:lang/>
              </w:rPr>
              <w:t>分）</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年度预算数（万元）</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年初预算</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调整后预算数</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预算执行数</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预算执行率</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得分</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原因</w:t>
            </w:r>
          </w:p>
        </w:tc>
      </w:tr>
      <w:tr w:rsidR="00D56551">
        <w:trPr>
          <w:trHeight w:val="339"/>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总额</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2,988.00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2,988.00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2,988.00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16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w:t>
            </w:r>
          </w:p>
        </w:tc>
      </w:tr>
      <w:tr w:rsidR="00D56551">
        <w:trPr>
          <w:trHeight w:val="374"/>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其中：财政资金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2,988.00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2,988.00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2,988.00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财政专户管理资金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50"/>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单位资金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32"/>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其他资金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1147"/>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绩效指标（</w:t>
            </w:r>
            <w:r>
              <w:rPr>
                <w:rFonts w:ascii="宋体" w:hAnsi="宋体" w:cs="宋体" w:hint="eastAsia"/>
                <w:color w:val="000000"/>
                <w:kern w:val="0"/>
                <w:sz w:val="16"/>
                <w:szCs w:val="16"/>
                <w:lang/>
              </w:rPr>
              <w:t>90</w:t>
            </w:r>
            <w:r>
              <w:rPr>
                <w:rFonts w:ascii="宋体" w:hAnsi="宋体" w:cs="宋体" w:hint="eastAsia"/>
                <w:color w:val="000000"/>
                <w:kern w:val="0"/>
                <w:sz w:val="16"/>
                <w:szCs w:val="16"/>
                <w:lang/>
              </w:rPr>
              <w:t>分）</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一级指标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二级指标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三级指标</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指标性质</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指标值</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度量单位</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完成值</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得分</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未完成原因分析</w:t>
            </w: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产出指标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数量指标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国家奖助金、服务义务兵役的足额发放</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2988</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万元</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2988</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质量指标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国家奖助金、服务义务兵役的准确发放</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2988</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万元</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2988</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时效指标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国家奖助金、服务义务兵役的按时发放</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2988</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万元</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2988</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效益指标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社会效益指标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提升本校社会影响力</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定性</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优良中低差</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万元</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优</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863"/>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可持续发展指标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让学生能够及时得到资助，保证学业的顺利完成。</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定性</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高中低</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万元</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高</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满意度指标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帮扶对象满意度指标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学生满意</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90</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294"/>
        </w:trPr>
        <w:tc>
          <w:tcPr>
            <w:tcW w:w="707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合计</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评价结论</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综合评分</w:t>
            </w:r>
            <w:r>
              <w:rPr>
                <w:rFonts w:ascii="宋体" w:hAnsi="宋体" w:cs="宋体" w:hint="eastAsia"/>
                <w:i/>
                <w:iCs/>
                <w:color w:val="000000"/>
                <w:kern w:val="0"/>
                <w:sz w:val="16"/>
                <w:szCs w:val="16"/>
                <w:lang/>
              </w:rPr>
              <w:t>100</w:t>
            </w:r>
            <w:r>
              <w:rPr>
                <w:rFonts w:ascii="宋体" w:hAnsi="宋体" w:cs="宋体" w:hint="eastAsia"/>
                <w:i/>
                <w:iCs/>
                <w:color w:val="000000"/>
                <w:kern w:val="0"/>
                <w:sz w:val="16"/>
                <w:szCs w:val="16"/>
                <w:lang/>
              </w:rPr>
              <w:t>分，国</w:t>
            </w:r>
            <w:r>
              <w:rPr>
                <w:rStyle w:val="font41"/>
                <w:rFonts w:hint="default"/>
                <w:lang/>
              </w:rPr>
              <w:t>家奖助金、服务义务兵役，按绩效目标足额发放、准确发</w:t>
            </w:r>
            <w:r>
              <w:rPr>
                <w:rStyle w:val="font51"/>
                <w:rFonts w:hint="default"/>
                <w:lang/>
              </w:rPr>
              <w:t>放、按时发放。</w:t>
            </w: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存在问题</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无</w:t>
            </w: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改进措施</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无</w:t>
            </w:r>
          </w:p>
        </w:tc>
      </w:tr>
      <w:tr w:rsidR="00D56551">
        <w:trPr>
          <w:trHeight w:val="294"/>
        </w:trPr>
        <w:tc>
          <w:tcPr>
            <w:tcW w:w="482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项目负责人：王帅亭子</w:t>
            </w:r>
          </w:p>
        </w:tc>
        <w:tc>
          <w:tcPr>
            <w:tcW w:w="479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财务负责人：李小华</w:t>
            </w:r>
          </w:p>
        </w:tc>
      </w:tr>
      <w:tr w:rsidR="00D56551">
        <w:trPr>
          <w:trHeight w:val="294"/>
        </w:trPr>
        <w:tc>
          <w:tcPr>
            <w:tcW w:w="640"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18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074"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502"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22"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7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01"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7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5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56" w:type="dxa"/>
            <w:tcBorders>
              <w:top w:val="nil"/>
              <w:left w:val="nil"/>
              <w:bottom w:val="nil"/>
              <w:right w:val="nil"/>
            </w:tcBorders>
            <w:shd w:val="clear" w:color="auto" w:fill="auto"/>
            <w:vAlign w:val="center"/>
          </w:tcPr>
          <w:p w:rsidR="00D56551" w:rsidRDefault="00D56551">
            <w:pPr>
              <w:jc w:val="center"/>
              <w:rPr>
                <w:rFonts w:ascii="宋体" w:hAnsi="宋体" w:cs="宋体"/>
                <w:color w:val="000000"/>
                <w:sz w:val="16"/>
                <w:szCs w:val="16"/>
              </w:rPr>
            </w:pPr>
          </w:p>
        </w:tc>
        <w:tc>
          <w:tcPr>
            <w:tcW w:w="1631"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r>
      <w:tr w:rsidR="00D56551">
        <w:trPr>
          <w:trHeight w:val="754"/>
        </w:trPr>
        <w:tc>
          <w:tcPr>
            <w:tcW w:w="962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rPr>
              <w:t>部门预算项目支出绩效自评表（</w:t>
            </w:r>
            <w:r>
              <w:rPr>
                <w:rFonts w:ascii="宋体" w:hAnsi="宋体" w:cs="宋体" w:hint="eastAsia"/>
                <w:b/>
                <w:bCs/>
                <w:color w:val="000000"/>
                <w:kern w:val="0"/>
                <w:sz w:val="16"/>
                <w:szCs w:val="16"/>
                <w:lang/>
              </w:rPr>
              <w:t>2022</w:t>
            </w:r>
            <w:r>
              <w:rPr>
                <w:rFonts w:ascii="宋体" w:hAnsi="宋体" w:cs="宋体" w:hint="eastAsia"/>
                <w:b/>
                <w:bCs/>
                <w:color w:val="000000"/>
                <w:kern w:val="0"/>
                <w:sz w:val="16"/>
                <w:szCs w:val="16"/>
                <w:lang/>
              </w:rPr>
              <w:t>年度）</w:t>
            </w:r>
          </w:p>
        </w:tc>
      </w:tr>
      <w:tr w:rsidR="00D56551">
        <w:trPr>
          <w:trHeight w:val="294"/>
        </w:trPr>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项目名称</w:t>
            </w:r>
          </w:p>
        </w:tc>
        <w:tc>
          <w:tcPr>
            <w:tcW w:w="779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51000022T000004677332-</w:t>
            </w:r>
            <w:r>
              <w:rPr>
                <w:rFonts w:ascii="宋体" w:hAnsi="宋体" w:cs="宋体" w:hint="eastAsia"/>
                <w:color w:val="000000"/>
                <w:kern w:val="0"/>
                <w:sz w:val="16"/>
                <w:szCs w:val="16"/>
                <w:lang/>
              </w:rPr>
              <w:t>学生资助补助经费</w:t>
            </w:r>
          </w:p>
        </w:tc>
      </w:tr>
      <w:tr w:rsidR="00D56551">
        <w:trPr>
          <w:trHeight w:val="863"/>
        </w:trPr>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主管部门</w:t>
            </w: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四川省教育厅部门</w:t>
            </w:r>
          </w:p>
        </w:tc>
        <w:tc>
          <w:tcPr>
            <w:tcW w:w="776" w:type="dxa"/>
            <w:tcBorders>
              <w:top w:val="nil"/>
              <w:left w:val="nil"/>
              <w:bottom w:val="nil"/>
              <w:right w:val="nil"/>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实施单位</w:t>
            </w:r>
            <w:r>
              <w:rPr>
                <w:rFonts w:ascii="宋体" w:hAnsi="宋体" w:cs="宋体" w:hint="eastAsia"/>
                <w:color w:val="000000"/>
                <w:kern w:val="0"/>
                <w:sz w:val="16"/>
                <w:szCs w:val="16"/>
                <w:lang/>
              </w:rPr>
              <w:t xml:space="preserve"> </w:t>
            </w:r>
            <w:r>
              <w:rPr>
                <w:rFonts w:ascii="宋体" w:hAnsi="宋体" w:cs="宋体" w:hint="eastAsia"/>
                <w:color w:val="000000"/>
                <w:kern w:val="0"/>
                <w:sz w:val="16"/>
                <w:szCs w:val="16"/>
                <w:lang/>
              </w:rPr>
              <w:t>（盖章）</w:t>
            </w:r>
          </w:p>
        </w:tc>
        <w:tc>
          <w:tcPr>
            <w:tcW w:w="25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川北医学院</w:t>
            </w:r>
          </w:p>
        </w:tc>
      </w:tr>
      <w:tr w:rsidR="00D56551">
        <w:trPr>
          <w:trHeight w:val="294"/>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项目基本情况</w:t>
            </w: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1.</w:t>
            </w:r>
            <w:r>
              <w:rPr>
                <w:rFonts w:ascii="宋体" w:hAnsi="宋体" w:cs="宋体" w:hint="eastAsia"/>
                <w:color w:val="000000"/>
                <w:kern w:val="0"/>
                <w:sz w:val="16"/>
                <w:szCs w:val="16"/>
                <w:lang/>
              </w:rPr>
              <w:t>项目年度目标完成情况</w:t>
            </w: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项目年度目标</w:t>
            </w:r>
          </w:p>
        </w:tc>
        <w:tc>
          <w:tcPr>
            <w:tcW w:w="33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年度目标完成情况</w:t>
            </w:r>
          </w:p>
        </w:tc>
      </w:tr>
      <w:tr w:rsidR="00D56551">
        <w:trPr>
          <w:trHeight w:val="597"/>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保障本校学生国家奖助学金、服务义务兵役教育资助的足额、准确、及时发放。</w:t>
            </w:r>
          </w:p>
        </w:tc>
        <w:tc>
          <w:tcPr>
            <w:tcW w:w="33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保障本校学生国家奖助学金、服务义务兵役教育资助的足额、准确、及时发放。</w:t>
            </w:r>
          </w:p>
        </w:tc>
      </w:tr>
      <w:tr w:rsidR="00D56551">
        <w:trPr>
          <w:trHeight w:val="585"/>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2.</w:t>
            </w:r>
            <w:r>
              <w:rPr>
                <w:rFonts w:ascii="宋体" w:hAnsi="宋体" w:cs="宋体" w:hint="eastAsia"/>
                <w:color w:val="000000"/>
                <w:kern w:val="0"/>
                <w:sz w:val="16"/>
                <w:szCs w:val="16"/>
                <w:lang/>
              </w:rPr>
              <w:t>项目实施内容及过程概述</w:t>
            </w:r>
          </w:p>
        </w:tc>
        <w:tc>
          <w:tcPr>
            <w:tcW w:w="779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根据《学生资助资金管理办法》和《四川省关于做好</w:t>
            </w:r>
            <w:r>
              <w:rPr>
                <w:rFonts w:ascii="宋体" w:hAnsi="宋体" w:cs="宋体" w:hint="eastAsia"/>
                <w:color w:val="000000"/>
                <w:kern w:val="0"/>
                <w:sz w:val="16"/>
                <w:szCs w:val="16"/>
                <w:lang/>
              </w:rPr>
              <w:t>2022</w:t>
            </w:r>
            <w:r>
              <w:rPr>
                <w:rFonts w:ascii="宋体" w:hAnsi="宋体" w:cs="宋体" w:hint="eastAsia"/>
                <w:color w:val="000000"/>
                <w:kern w:val="0"/>
                <w:sz w:val="16"/>
                <w:szCs w:val="16"/>
                <w:lang/>
              </w:rPr>
              <w:t>年高校国家奖助学金评审工作的通知》等文件，确保国家奖助金、服务义务兵役，按绩效目标足额发放、准确发放、按时发放。</w:t>
            </w:r>
          </w:p>
        </w:tc>
      </w:tr>
      <w:tr w:rsidR="00D56551">
        <w:trPr>
          <w:trHeight w:val="578"/>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预算执行情况（</w:t>
            </w:r>
            <w:r>
              <w:rPr>
                <w:rFonts w:ascii="宋体" w:hAnsi="宋体" w:cs="宋体" w:hint="eastAsia"/>
                <w:color w:val="000000"/>
                <w:kern w:val="0"/>
                <w:sz w:val="16"/>
                <w:szCs w:val="16"/>
                <w:lang/>
              </w:rPr>
              <w:t>10</w:t>
            </w:r>
            <w:r>
              <w:rPr>
                <w:rFonts w:ascii="宋体" w:hAnsi="宋体" w:cs="宋体" w:hint="eastAsia"/>
                <w:color w:val="000000"/>
                <w:kern w:val="0"/>
                <w:sz w:val="16"/>
                <w:szCs w:val="16"/>
                <w:lang/>
              </w:rPr>
              <w:t>分）</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年度预算数（万元）</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年初预算</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调整后预算数</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预算执行数</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预算执行率</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得分</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原因</w:t>
            </w:r>
          </w:p>
        </w:tc>
      </w:tr>
      <w:tr w:rsidR="00D56551">
        <w:trPr>
          <w:trHeight w:val="339"/>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总额</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187.81</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187.81</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16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74"/>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其中：财政资金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187.81</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187.81</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财政专户管理资金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50"/>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单位资金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32"/>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其他资金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1147"/>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绩效指标（</w:t>
            </w:r>
            <w:r>
              <w:rPr>
                <w:rFonts w:ascii="宋体" w:hAnsi="宋体" w:cs="宋体" w:hint="eastAsia"/>
                <w:color w:val="000000"/>
                <w:kern w:val="0"/>
                <w:sz w:val="16"/>
                <w:szCs w:val="16"/>
                <w:lang/>
              </w:rPr>
              <w:t>90</w:t>
            </w:r>
            <w:r>
              <w:rPr>
                <w:rFonts w:ascii="宋体" w:hAnsi="宋体" w:cs="宋体" w:hint="eastAsia"/>
                <w:color w:val="000000"/>
                <w:kern w:val="0"/>
                <w:sz w:val="16"/>
                <w:szCs w:val="16"/>
                <w:lang/>
              </w:rPr>
              <w:t>分）</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一级指标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二级指标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三级指标</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指标性质</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指标值</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度量单位</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完成值</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得分</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未完成原因分析</w:t>
            </w: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产出指标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数量指标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国家奖助金、服务义务兵役的足额发放</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187.81</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万元</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187.81</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质量指标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国家奖助金、服务义务兵役的准确发</w:t>
            </w:r>
            <w:r>
              <w:rPr>
                <w:rFonts w:ascii="宋体" w:hAnsi="宋体" w:cs="宋体" w:hint="eastAsia"/>
                <w:color w:val="000000"/>
                <w:kern w:val="0"/>
                <w:sz w:val="16"/>
                <w:szCs w:val="16"/>
                <w:lang/>
              </w:rPr>
              <w:lastRenderedPageBreak/>
              <w:t>放</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lastRenderedPageBreak/>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187.81</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万元</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187.81</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时效指标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国家奖助金、服务义务兵役的按时发放</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187.81</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万元</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187.81</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效益指标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社会效益指标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提升本校社会影响力</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定性</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优良中低差</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万元</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优</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863"/>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可持续发展指标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让学生能够及时得到资助，保证学业的顺利完成。</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定性</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高中低</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万元</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高</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满意度指标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帮扶对象满意度指标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学生满意</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90</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294"/>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r>
      <w:tr w:rsidR="00D56551">
        <w:trPr>
          <w:trHeight w:val="294"/>
        </w:trPr>
        <w:tc>
          <w:tcPr>
            <w:tcW w:w="707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合计</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评价结论</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自评</w:t>
            </w:r>
            <w:r>
              <w:rPr>
                <w:rFonts w:ascii="宋体" w:hAnsi="宋体" w:cs="宋体" w:hint="eastAsia"/>
                <w:i/>
                <w:iCs/>
                <w:color w:val="000000"/>
                <w:kern w:val="0"/>
                <w:sz w:val="16"/>
                <w:szCs w:val="16"/>
                <w:lang/>
              </w:rPr>
              <w:t>100</w:t>
            </w:r>
            <w:r>
              <w:rPr>
                <w:rFonts w:ascii="宋体" w:hAnsi="宋体" w:cs="宋体" w:hint="eastAsia"/>
                <w:i/>
                <w:iCs/>
                <w:color w:val="000000"/>
                <w:kern w:val="0"/>
                <w:sz w:val="16"/>
                <w:szCs w:val="16"/>
                <w:lang/>
              </w:rPr>
              <w:t>分，国家奖助金、服务义务兵役，按绩效目标足额发放、准确发放、按时发放。</w:t>
            </w: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存在问题</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无</w:t>
            </w: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改进措施</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无</w:t>
            </w:r>
          </w:p>
        </w:tc>
      </w:tr>
      <w:tr w:rsidR="00D56551">
        <w:trPr>
          <w:trHeight w:val="294"/>
        </w:trPr>
        <w:tc>
          <w:tcPr>
            <w:tcW w:w="482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项目负责人：王帅亭子</w:t>
            </w:r>
          </w:p>
        </w:tc>
        <w:tc>
          <w:tcPr>
            <w:tcW w:w="479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财务负责人：李小华</w:t>
            </w:r>
          </w:p>
        </w:tc>
      </w:tr>
      <w:tr w:rsidR="00D56551">
        <w:trPr>
          <w:trHeight w:val="294"/>
        </w:trPr>
        <w:tc>
          <w:tcPr>
            <w:tcW w:w="640"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18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074"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502"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22"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7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01"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7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5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56" w:type="dxa"/>
            <w:tcBorders>
              <w:top w:val="nil"/>
              <w:left w:val="nil"/>
              <w:bottom w:val="nil"/>
              <w:right w:val="nil"/>
            </w:tcBorders>
            <w:shd w:val="clear" w:color="auto" w:fill="auto"/>
            <w:vAlign w:val="center"/>
          </w:tcPr>
          <w:p w:rsidR="00D56551" w:rsidRDefault="00D56551">
            <w:pPr>
              <w:jc w:val="center"/>
              <w:rPr>
                <w:rFonts w:ascii="宋体" w:hAnsi="宋体" w:cs="宋体"/>
                <w:color w:val="000000"/>
                <w:sz w:val="16"/>
                <w:szCs w:val="16"/>
              </w:rPr>
            </w:pPr>
          </w:p>
        </w:tc>
        <w:tc>
          <w:tcPr>
            <w:tcW w:w="1631"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r>
      <w:tr w:rsidR="00D56551">
        <w:trPr>
          <w:trHeight w:val="754"/>
        </w:trPr>
        <w:tc>
          <w:tcPr>
            <w:tcW w:w="962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rPr>
              <w:t>部门预算项目支出绩效自评表（</w:t>
            </w:r>
            <w:r>
              <w:rPr>
                <w:rFonts w:ascii="宋体" w:hAnsi="宋体" w:cs="宋体" w:hint="eastAsia"/>
                <w:b/>
                <w:bCs/>
                <w:color w:val="000000"/>
                <w:kern w:val="0"/>
                <w:sz w:val="16"/>
                <w:szCs w:val="16"/>
                <w:lang/>
              </w:rPr>
              <w:t>2022</w:t>
            </w:r>
            <w:r>
              <w:rPr>
                <w:rFonts w:ascii="宋体" w:hAnsi="宋体" w:cs="宋体" w:hint="eastAsia"/>
                <w:b/>
                <w:bCs/>
                <w:color w:val="000000"/>
                <w:kern w:val="0"/>
                <w:sz w:val="16"/>
                <w:szCs w:val="16"/>
                <w:lang/>
              </w:rPr>
              <w:t>年度）</w:t>
            </w:r>
          </w:p>
        </w:tc>
      </w:tr>
      <w:tr w:rsidR="00D56551">
        <w:trPr>
          <w:trHeight w:val="294"/>
        </w:trPr>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项目名称</w:t>
            </w:r>
          </w:p>
        </w:tc>
        <w:tc>
          <w:tcPr>
            <w:tcW w:w="779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51000022T000004677359-</w:t>
            </w:r>
            <w:r>
              <w:rPr>
                <w:rFonts w:ascii="宋体" w:hAnsi="宋体" w:cs="宋体" w:hint="eastAsia"/>
                <w:color w:val="000000"/>
                <w:kern w:val="0"/>
                <w:sz w:val="16"/>
                <w:szCs w:val="16"/>
                <w:lang/>
              </w:rPr>
              <w:t>中央引导地方科技发展资金</w:t>
            </w:r>
          </w:p>
        </w:tc>
      </w:tr>
      <w:tr w:rsidR="00D56551">
        <w:trPr>
          <w:trHeight w:val="863"/>
        </w:trPr>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主管部门</w:t>
            </w: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四川省教育厅部门</w:t>
            </w:r>
          </w:p>
        </w:tc>
        <w:tc>
          <w:tcPr>
            <w:tcW w:w="776" w:type="dxa"/>
            <w:tcBorders>
              <w:top w:val="nil"/>
              <w:left w:val="nil"/>
              <w:bottom w:val="nil"/>
              <w:right w:val="nil"/>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实施单位</w:t>
            </w:r>
            <w:r>
              <w:rPr>
                <w:rFonts w:ascii="宋体" w:hAnsi="宋体" w:cs="宋体" w:hint="eastAsia"/>
                <w:color w:val="000000"/>
                <w:kern w:val="0"/>
                <w:sz w:val="16"/>
                <w:szCs w:val="16"/>
                <w:lang/>
              </w:rPr>
              <w:t xml:space="preserve"> </w:t>
            </w:r>
            <w:r>
              <w:rPr>
                <w:rFonts w:ascii="宋体" w:hAnsi="宋体" w:cs="宋体" w:hint="eastAsia"/>
                <w:color w:val="000000"/>
                <w:kern w:val="0"/>
                <w:sz w:val="16"/>
                <w:szCs w:val="16"/>
                <w:lang/>
              </w:rPr>
              <w:t>（盖章）</w:t>
            </w:r>
          </w:p>
        </w:tc>
        <w:tc>
          <w:tcPr>
            <w:tcW w:w="25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川北医学院</w:t>
            </w:r>
          </w:p>
        </w:tc>
      </w:tr>
      <w:tr w:rsidR="00D56551">
        <w:trPr>
          <w:trHeight w:val="294"/>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项目基本情况</w:t>
            </w: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1.</w:t>
            </w:r>
            <w:r>
              <w:rPr>
                <w:rFonts w:ascii="宋体" w:hAnsi="宋体" w:cs="宋体" w:hint="eastAsia"/>
                <w:color w:val="000000"/>
                <w:kern w:val="0"/>
                <w:sz w:val="16"/>
                <w:szCs w:val="16"/>
                <w:lang/>
              </w:rPr>
              <w:t>项目年度目标完成情况</w:t>
            </w: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项目年度目标</w:t>
            </w:r>
          </w:p>
        </w:tc>
        <w:tc>
          <w:tcPr>
            <w:tcW w:w="33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年度目标完成情况</w:t>
            </w:r>
          </w:p>
        </w:tc>
      </w:tr>
      <w:tr w:rsidR="00D56551">
        <w:trPr>
          <w:trHeight w:val="597"/>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按时完成预定论文、专利产出，按预定标准和时间完成项目，按预定成本完成，无资金浪费，同时产生一定社会效益。</w:t>
            </w:r>
          </w:p>
        </w:tc>
        <w:tc>
          <w:tcPr>
            <w:tcW w:w="33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因科研项目周期性，及科研过程中的不确定性，部分完成年度目标。</w:t>
            </w:r>
          </w:p>
        </w:tc>
      </w:tr>
      <w:tr w:rsidR="00D56551">
        <w:trPr>
          <w:trHeight w:val="585"/>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2.</w:t>
            </w:r>
            <w:r>
              <w:rPr>
                <w:rFonts w:ascii="宋体" w:hAnsi="宋体" w:cs="宋体" w:hint="eastAsia"/>
                <w:color w:val="000000"/>
                <w:kern w:val="0"/>
                <w:sz w:val="16"/>
                <w:szCs w:val="16"/>
                <w:lang/>
              </w:rPr>
              <w:t>项目实施内容及过程概述</w:t>
            </w:r>
          </w:p>
        </w:tc>
        <w:tc>
          <w:tcPr>
            <w:tcW w:w="779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按项目任务书年度计划执行。</w:t>
            </w:r>
          </w:p>
        </w:tc>
      </w:tr>
      <w:tr w:rsidR="00D56551">
        <w:trPr>
          <w:trHeight w:val="578"/>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预算执行情况（</w:t>
            </w:r>
            <w:r>
              <w:rPr>
                <w:rFonts w:ascii="宋体" w:hAnsi="宋体" w:cs="宋体" w:hint="eastAsia"/>
                <w:color w:val="000000"/>
                <w:kern w:val="0"/>
                <w:sz w:val="16"/>
                <w:szCs w:val="16"/>
                <w:lang/>
              </w:rPr>
              <w:t>10</w:t>
            </w:r>
            <w:r>
              <w:rPr>
                <w:rFonts w:ascii="宋体" w:hAnsi="宋体" w:cs="宋体" w:hint="eastAsia"/>
                <w:color w:val="000000"/>
                <w:kern w:val="0"/>
                <w:sz w:val="16"/>
                <w:szCs w:val="16"/>
                <w:lang/>
              </w:rPr>
              <w:t>分）</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年度预算数（万元）</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年初预算</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调整后预算数</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预算执行数</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预算执行率</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得分</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原因</w:t>
            </w:r>
          </w:p>
        </w:tc>
      </w:tr>
      <w:tr w:rsidR="00D56551">
        <w:trPr>
          <w:trHeight w:val="339"/>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总额</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40.00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w:t>
            </w:r>
          </w:p>
        </w:tc>
        <w:tc>
          <w:tcPr>
            <w:tcW w:w="16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因科研项目周期性，及科研过程中不确定性，部分完成年度目标。</w:t>
            </w:r>
          </w:p>
        </w:tc>
      </w:tr>
      <w:tr w:rsidR="00D56551">
        <w:trPr>
          <w:trHeight w:val="374"/>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其中：财政资金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40.00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财政专户管理资金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50"/>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单位资金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32"/>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其他资金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1147"/>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lastRenderedPageBreak/>
              <w:t>绩效指标（</w:t>
            </w:r>
            <w:r>
              <w:rPr>
                <w:rFonts w:ascii="宋体" w:hAnsi="宋体" w:cs="宋体" w:hint="eastAsia"/>
                <w:color w:val="000000"/>
                <w:kern w:val="0"/>
                <w:sz w:val="16"/>
                <w:szCs w:val="16"/>
                <w:lang/>
              </w:rPr>
              <w:t>90</w:t>
            </w:r>
            <w:r>
              <w:rPr>
                <w:rFonts w:ascii="宋体" w:hAnsi="宋体" w:cs="宋体" w:hint="eastAsia"/>
                <w:color w:val="000000"/>
                <w:kern w:val="0"/>
                <w:sz w:val="16"/>
                <w:szCs w:val="16"/>
                <w:lang/>
              </w:rPr>
              <w:t>分）</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一级指标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二级指标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三级指标</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指标性质</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指标值</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度量单位</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完成值</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得分</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未完成原因分析</w:t>
            </w:r>
          </w:p>
        </w:tc>
      </w:tr>
      <w:tr w:rsidR="00D56551">
        <w:trPr>
          <w:trHeight w:val="1147"/>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产出指标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数量指标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专利</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定量</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个</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资金下达时间较晚，以及科研项目周期性、科研过程中的不确定性，还未完成。</w:t>
            </w:r>
          </w:p>
        </w:tc>
      </w:tr>
      <w:tr w:rsidR="00D56551">
        <w:trPr>
          <w:trHeight w:val="1147"/>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产出指标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数量指标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论文</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定量</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篇</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资金下达时间较晚，以及科研项目周期性、科研过程中的不确定性，还未完成。</w:t>
            </w: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产出指标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数量指标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研究生</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定量</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个</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效益指标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数量指标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培训技术人员</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定量</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人次</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5</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项目周期性较长，进行中。</w:t>
            </w: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效益指标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数量指标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技术咨询服务</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定量</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人次</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4</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8</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项目周期性较长，进行中。</w:t>
            </w:r>
          </w:p>
        </w:tc>
      </w:tr>
      <w:tr w:rsidR="00D56551">
        <w:trPr>
          <w:trHeight w:val="294"/>
        </w:trPr>
        <w:tc>
          <w:tcPr>
            <w:tcW w:w="707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合计</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48</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评价结论</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部分完成年度目标，预算执行率低。</w:t>
            </w: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存在问题</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经费执行率偏低。</w:t>
            </w: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改进措施</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加强项目中期检查，督促预算执行。</w:t>
            </w:r>
          </w:p>
        </w:tc>
      </w:tr>
      <w:tr w:rsidR="00D56551">
        <w:trPr>
          <w:trHeight w:val="294"/>
        </w:trPr>
        <w:tc>
          <w:tcPr>
            <w:tcW w:w="482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项目负责人：刘云</w:t>
            </w:r>
          </w:p>
        </w:tc>
        <w:tc>
          <w:tcPr>
            <w:tcW w:w="479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财务负责人：李小华</w:t>
            </w:r>
          </w:p>
        </w:tc>
      </w:tr>
      <w:tr w:rsidR="00D56551">
        <w:trPr>
          <w:trHeight w:val="294"/>
        </w:trPr>
        <w:tc>
          <w:tcPr>
            <w:tcW w:w="640"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18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074"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502"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22"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7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01"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7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5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56" w:type="dxa"/>
            <w:tcBorders>
              <w:top w:val="nil"/>
              <w:left w:val="nil"/>
              <w:bottom w:val="nil"/>
              <w:right w:val="nil"/>
            </w:tcBorders>
            <w:shd w:val="clear" w:color="auto" w:fill="auto"/>
            <w:vAlign w:val="center"/>
          </w:tcPr>
          <w:p w:rsidR="00D56551" w:rsidRDefault="00D56551">
            <w:pPr>
              <w:jc w:val="center"/>
              <w:rPr>
                <w:rFonts w:ascii="宋体" w:hAnsi="宋体" w:cs="宋体"/>
                <w:color w:val="000000"/>
                <w:sz w:val="16"/>
                <w:szCs w:val="16"/>
              </w:rPr>
            </w:pPr>
          </w:p>
        </w:tc>
        <w:tc>
          <w:tcPr>
            <w:tcW w:w="1631"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r>
      <w:tr w:rsidR="00D56551">
        <w:trPr>
          <w:trHeight w:val="754"/>
        </w:trPr>
        <w:tc>
          <w:tcPr>
            <w:tcW w:w="962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rPr>
              <w:t>部门预算项目支出绩效自评表（</w:t>
            </w:r>
            <w:r>
              <w:rPr>
                <w:rFonts w:ascii="宋体" w:hAnsi="宋体" w:cs="宋体" w:hint="eastAsia"/>
                <w:b/>
                <w:bCs/>
                <w:color w:val="000000"/>
                <w:kern w:val="0"/>
                <w:sz w:val="16"/>
                <w:szCs w:val="16"/>
                <w:lang/>
              </w:rPr>
              <w:t>2022</w:t>
            </w:r>
            <w:r>
              <w:rPr>
                <w:rFonts w:ascii="宋体" w:hAnsi="宋体" w:cs="宋体" w:hint="eastAsia"/>
                <w:b/>
                <w:bCs/>
                <w:color w:val="000000"/>
                <w:kern w:val="0"/>
                <w:sz w:val="16"/>
                <w:szCs w:val="16"/>
                <w:lang/>
              </w:rPr>
              <w:t>年度）</w:t>
            </w:r>
          </w:p>
        </w:tc>
      </w:tr>
      <w:tr w:rsidR="00D56551">
        <w:trPr>
          <w:trHeight w:val="294"/>
        </w:trPr>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项目名称</w:t>
            </w:r>
          </w:p>
        </w:tc>
        <w:tc>
          <w:tcPr>
            <w:tcW w:w="779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51000022T000004677365-</w:t>
            </w:r>
            <w:r>
              <w:rPr>
                <w:rFonts w:ascii="宋体" w:hAnsi="宋体" w:cs="宋体" w:hint="eastAsia"/>
                <w:color w:val="000000"/>
                <w:kern w:val="0"/>
                <w:sz w:val="16"/>
                <w:szCs w:val="16"/>
                <w:lang/>
              </w:rPr>
              <w:t>支持地方高校改革发展资金</w:t>
            </w:r>
          </w:p>
        </w:tc>
      </w:tr>
      <w:tr w:rsidR="00D56551">
        <w:trPr>
          <w:trHeight w:val="863"/>
        </w:trPr>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主管部门</w:t>
            </w: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四川省教育厅部门</w:t>
            </w:r>
          </w:p>
        </w:tc>
        <w:tc>
          <w:tcPr>
            <w:tcW w:w="776" w:type="dxa"/>
            <w:tcBorders>
              <w:top w:val="nil"/>
              <w:left w:val="nil"/>
              <w:bottom w:val="nil"/>
              <w:right w:val="nil"/>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实施单位</w:t>
            </w:r>
            <w:r>
              <w:rPr>
                <w:rFonts w:ascii="宋体" w:hAnsi="宋体" w:cs="宋体" w:hint="eastAsia"/>
                <w:color w:val="000000"/>
                <w:kern w:val="0"/>
                <w:sz w:val="16"/>
                <w:szCs w:val="16"/>
                <w:lang/>
              </w:rPr>
              <w:t xml:space="preserve"> </w:t>
            </w:r>
            <w:r>
              <w:rPr>
                <w:rFonts w:ascii="宋体" w:hAnsi="宋体" w:cs="宋体" w:hint="eastAsia"/>
                <w:color w:val="000000"/>
                <w:kern w:val="0"/>
                <w:sz w:val="16"/>
                <w:szCs w:val="16"/>
                <w:lang/>
              </w:rPr>
              <w:t>（盖章）</w:t>
            </w:r>
          </w:p>
        </w:tc>
        <w:tc>
          <w:tcPr>
            <w:tcW w:w="25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川北医学院</w:t>
            </w:r>
          </w:p>
        </w:tc>
      </w:tr>
      <w:tr w:rsidR="00D56551">
        <w:trPr>
          <w:trHeight w:val="294"/>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项目基本情况</w:t>
            </w: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1.</w:t>
            </w:r>
            <w:r>
              <w:rPr>
                <w:rFonts w:ascii="宋体" w:hAnsi="宋体" w:cs="宋体" w:hint="eastAsia"/>
                <w:color w:val="000000"/>
                <w:kern w:val="0"/>
                <w:sz w:val="16"/>
                <w:szCs w:val="16"/>
                <w:lang/>
              </w:rPr>
              <w:t>项目年度目标完成情况</w:t>
            </w: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项目年度目标</w:t>
            </w:r>
          </w:p>
        </w:tc>
        <w:tc>
          <w:tcPr>
            <w:tcW w:w="33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年度目标完成情况</w:t>
            </w:r>
          </w:p>
        </w:tc>
      </w:tr>
      <w:tr w:rsidR="00D56551">
        <w:trPr>
          <w:trHeight w:val="597"/>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改善基本办学条件，深化教育教学改革，加快学校内涵式发展，提升服务经济社会发展能力。</w:t>
            </w:r>
          </w:p>
        </w:tc>
        <w:tc>
          <w:tcPr>
            <w:tcW w:w="33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改善基本办学条件，深化教育教学改革，加快学校内涵式发展，提升服务经济社会发展能力。</w:t>
            </w:r>
          </w:p>
        </w:tc>
      </w:tr>
      <w:tr w:rsidR="00D56551">
        <w:trPr>
          <w:trHeight w:val="585"/>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2.</w:t>
            </w:r>
            <w:r>
              <w:rPr>
                <w:rFonts w:ascii="宋体" w:hAnsi="宋体" w:cs="宋体" w:hint="eastAsia"/>
                <w:color w:val="000000"/>
                <w:kern w:val="0"/>
                <w:sz w:val="16"/>
                <w:szCs w:val="16"/>
                <w:lang/>
              </w:rPr>
              <w:t>项目实施内容及过程概述</w:t>
            </w:r>
          </w:p>
        </w:tc>
        <w:tc>
          <w:tcPr>
            <w:tcW w:w="779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结合学校实际情况，该笔资金统筹使用，用于改善基本办学条件，深化教育教学改革，加快学校内涵式发展，提升服务经济社会发展能力。</w:t>
            </w:r>
          </w:p>
        </w:tc>
      </w:tr>
      <w:tr w:rsidR="00D56551">
        <w:trPr>
          <w:trHeight w:val="578"/>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预算执行情况（</w:t>
            </w:r>
            <w:r>
              <w:rPr>
                <w:rFonts w:ascii="宋体" w:hAnsi="宋体" w:cs="宋体" w:hint="eastAsia"/>
                <w:color w:val="000000"/>
                <w:kern w:val="0"/>
                <w:sz w:val="16"/>
                <w:szCs w:val="16"/>
                <w:lang/>
              </w:rPr>
              <w:t>10</w:t>
            </w:r>
            <w:r>
              <w:rPr>
                <w:rFonts w:ascii="宋体" w:hAnsi="宋体" w:cs="宋体" w:hint="eastAsia"/>
                <w:color w:val="000000"/>
                <w:kern w:val="0"/>
                <w:sz w:val="16"/>
                <w:szCs w:val="16"/>
                <w:lang/>
              </w:rPr>
              <w:lastRenderedPageBreak/>
              <w:t>分）</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lastRenderedPageBreak/>
              <w:t>年度预算数（万元）</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年初预算</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调整后预算数</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预算执行数</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预算执行率</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得分</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原因</w:t>
            </w:r>
          </w:p>
        </w:tc>
      </w:tr>
      <w:tr w:rsidR="00D56551">
        <w:trPr>
          <w:trHeight w:val="339"/>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总额</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874.00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874.00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16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74"/>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其中：财政资</w:t>
            </w:r>
            <w:r>
              <w:rPr>
                <w:rFonts w:ascii="宋体" w:hAnsi="宋体" w:cs="宋体" w:hint="eastAsia"/>
                <w:color w:val="000000"/>
                <w:kern w:val="0"/>
                <w:sz w:val="16"/>
                <w:szCs w:val="16"/>
                <w:lang/>
              </w:rPr>
              <w:lastRenderedPageBreak/>
              <w:t>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lastRenderedPageBreak/>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874.00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874.00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财政专户管理资金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50"/>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单位资金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32"/>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其他资金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1147"/>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绩效指标（</w:t>
            </w:r>
            <w:r>
              <w:rPr>
                <w:rFonts w:ascii="宋体" w:hAnsi="宋体" w:cs="宋体" w:hint="eastAsia"/>
                <w:color w:val="000000"/>
                <w:kern w:val="0"/>
                <w:sz w:val="16"/>
                <w:szCs w:val="16"/>
                <w:lang/>
              </w:rPr>
              <w:t>90</w:t>
            </w:r>
            <w:r>
              <w:rPr>
                <w:rFonts w:ascii="宋体" w:hAnsi="宋体" w:cs="宋体" w:hint="eastAsia"/>
                <w:color w:val="000000"/>
                <w:kern w:val="0"/>
                <w:sz w:val="16"/>
                <w:szCs w:val="16"/>
                <w:lang/>
              </w:rPr>
              <w:t>分）</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一级指标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二级指标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三级指标</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指标性质</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指标值</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度量单位</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完成值</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得分</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未完成原因分析</w:t>
            </w:r>
          </w:p>
        </w:tc>
      </w:tr>
      <w:tr w:rsidR="00D56551">
        <w:trPr>
          <w:trHeight w:val="294"/>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产出指标</w:t>
            </w:r>
          </w:p>
        </w:tc>
        <w:tc>
          <w:tcPr>
            <w:tcW w:w="1074" w:type="dxa"/>
            <w:tcBorders>
              <w:top w:val="single" w:sz="4" w:space="0" w:color="000000"/>
              <w:left w:val="single" w:sz="4" w:space="0" w:color="000000"/>
              <w:bottom w:val="single" w:sz="4" w:space="0" w:color="000000"/>
              <w:right w:val="nil"/>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时效指标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2022</w:t>
            </w:r>
            <w:r>
              <w:rPr>
                <w:rFonts w:ascii="宋体" w:hAnsi="宋体" w:cs="宋体" w:hint="eastAsia"/>
                <w:color w:val="000000"/>
                <w:kern w:val="0"/>
                <w:sz w:val="16"/>
                <w:szCs w:val="16"/>
                <w:lang/>
              </w:rPr>
              <w:t>年底完成</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2022</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2022</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50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50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效益指标</w:t>
            </w:r>
          </w:p>
        </w:tc>
        <w:tc>
          <w:tcPr>
            <w:tcW w:w="1074" w:type="dxa"/>
            <w:tcBorders>
              <w:top w:val="single" w:sz="4" w:space="0" w:color="000000"/>
              <w:left w:val="single" w:sz="4" w:space="0" w:color="000000"/>
              <w:bottom w:val="single" w:sz="4" w:space="0" w:color="000000"/>
              <w:right w:val="nil"/>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社会效益指标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改善基本办学条件，提升教学质量。</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定性</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好坏</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好</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满意度指标</w:t>
            </w:r>
          </w:p>
        </w:tc>
        <w:tc>
          <w:tcPr>
            <w:tcW w:w="1074" w:type="dxa"/>
            <w:tcBorders>
              <w:top w:val="single" w:sz="4" w:space="0" w:color="000000"/>
              <w:left w:val="single" w:sz="4" w:space="0" w:color="000000"/>
              <w:bottom w:val="single" w:sz="4" w:space="0" w:color="000000"/>
              <w:right w:val="nil"/>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服务对象满意度指标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学生满意度</w:t>
            </w:r>
          </w:p>
        </w:tc>
        <w:tc>
          <w:tcPr>
            <w:tcW w:w="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90</w:t>
            </w:r>
          </w:p>
        </w:tc>
        <w:tc>
          <w:tcPr>
            <w:tcW w:w="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90%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294"/>
        </w:trPr>
        <w:tc>
          <w:tcPr>
            <w:tcW w:w="707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合计</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评价结论</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改善基本办学条件，深化教育教学改革，加快学校内涵式发展，提升服务经济社会发展能力。</w:t>
            </w: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存在问题</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无</w:t>
            </w: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改进措施</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无</w:t>
            </w:r>
          </w:p>
        </w:tc>
      </w:tr>
      <w:tr w:rsidR="00D56551">
        <w:trPr>
          <w:trHeight w:val="294"/>
        </w:trPr>
        <w:tc>
          <w:tcPr>
            <w:tcW w:w="482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项目负责人：李小华</w:t>
            </w:r>
          </w:p>
        </w:tc>
        <w:tc>
          <w:tcPr>
            <w:tcW w:w="479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财务负责人：李小华</w:t>
            </w:r>
          </w:p>
        </w:tc>
      </w:tr>
      <w:tr w:rsidR="00D56551">
        <w:trPr>
          <w:trHeight w:val="294"/>
        </w:trPr>
        <w:tc>
          <w:tcPr>
            <w:tcW w:w="640"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18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074"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502"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22"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7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01"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7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5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56" w:type="dxa"/>
            <w:tcBorders>
              <w:top w:val="nil"/>
              <w:left w:val="nil"/>
              <w:bottom w:val="nil"/>
              <w:right w:val="nil"/>
            </w:tcBorders>
            <w:shd w:val="clear" w:color="auto" w:fill="auto"/>
            <w:vAlign w:val="center"/>
          </w:tcPr>
          <w:p w:rsidR="00D56551" w:rsidRDefault="00D56551">
            <w:pPr>
              <w:jc w:val="center"/>
              <w:rPr>
                <w:rFonts w:ascii="宋体" w:hAnsi="宋体" w:cs="宋体"/>
                <w:color w:val="000000"/>
                <w:sz w:val="16"/>
                <w:szCs w:val="16"/>
              </w:rPr>
            </w:pPr>
          </w:p>
        </w:tc>
        <w:tc>
          <w:tcPr>
            <w:tcW w:w="1631"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r>
      <w:tr w:rsidR="00D56551">
        <w:trPr>
          <w:trHeight w:val="754"/>
        </w:trPr>
        <w:tc>
          <w:tcPr>
            <w:tcW w:w="962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rPr>
              <w:t>部门预算项目支出绩效自评表（</w:t>
            </w:r>
            <w:r>
              <w:rPr>
                <w:rFonts w:ascii="宋体" w:hAnsi="宋体" w:cs="宋体" w:hint="eastAsia"/>
                <w:b/>
                <w:bCs/>
                <w:color w:val="000000"/>
                <w:kern w:val="0"/>
                <w:sz w:val="16"/>
                <w:szCs w:val="16"/>
                <w:lang/>
              </w:rPr>
              <w:t>2022</w:t>
            </w:r>
            <w:r>
              <w:rPr>
                <w:rFonts w:ascii="宋体" w:hAnsi="宋体" w:cs="宋体" w:hint="eastAsia"/>
                <w:b/>
                <w:bCs/>
                <w:color w:val="000000"/>
                <w:kern w:val="0"/>
                <w:sz w:val="16"/>
                <w:szCs w:val="16"/>
                <w:lang/>
              </w:rPr>
              <w:t>年度）</w:t>
            </w:r>
          </w:p>
        </w:tc>
      </w:tr>
      <w:tr w:rsidR="00D56551">
        <w:trPr>
          <w:trHeight w:val="294"/>
        </w:trPr>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项目名称</w:t>
            </w:r>
          </w:p>
        </w:tc>
        <w:tc>
          <w:tcPr>
            <w:tcW w:w="779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51000022T000004771389-</w:t>
            </w:r>
            <w:r>
              <w:rPr>
                <w:rFonts w:ascii="宋体" w:hAnsi="宋体" w:cs="宋体" w:hint="eastAsia"/>
                <w:color w:val="000000"/>
                <w:kern w:val="0"/>
                <w:sz w:val="16"/>
                <w:szCs w:val="16"/>
                <w:lang/>
              </w:rPr>
              <w:t>医疗服务与保障能力提升</w:t>
            </w:r>
          </w:p>
        </w:tc>
      </w:tr>
      <w:tr w:rsidR="00D56551">
        <w:trPr>
          <w:trHeight w:val="863"/>
        </w:trPr>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主管部门</w:t>
            </w: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四川省教育厅部门</w:t>
            </w:r>
          </w:p>
        </w:tc>
        <w:tc>
          <w:tcPr>
            <w:tcW w:w="776" w:type="dxa"/>
            <w:tcBorders>
              <w:top w:val="nil"/>
              <w:left w:val="nil"/>
              <w:bottom w:val="nil"/>
              <w:right w:val="nil"/>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实施单位</w:t>
            </w:r>
            <w:r>
              <w:rPr>
                <w:rFonts w:ascii="宋体" w:hAnsi="宋体" w:cs="宋体" w:hint="eastAsia"/>
                <w:color w:val="000000"/>
                <w:kern w:val="0"/>
                <w:sz w:val="16"/>
                <w:szCs w:val="16"/>
                <w:lang/>
              </w:rPr>
              <w:t xml:space="preserve"> </w:t>
            </w:r>
            <w:r>
              <w:rPr>
                <w:rFonts w:ascii="宋体" w:hAnsi="宋体" w:cs="宋体" w:hint="eastAsia"/>
                <w:color w:val="000000"/>
                <w:kern w:val="0"/>
                <w:sz w:val="16"/>
                <w:szCs w:val="16"/>
                <w:lang/>
              </w:rPr>
              <w:t>（盖章）</w:t>
            </w:r>
          </w:p>
        </w:tc>
        <w:tc>
          <w:tcPr>
            <w:tcW w:w="25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川北医学院</w:t>
            </w:r>
          </w:p>
        </w:tc>
      </w:tr>
      <w:tr w:rsidR="00D56551">
        <w:trPr>
          <w:trHeight w:val="294"/>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项目基本情况</w:t>
            </w: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1.</w:t>
            </w:r>
            <w:r>
              <w:rPr>
                <w:rFonts w:ascii="宋体" w:hAnsi="宋体" w:cs="宋体" w:hint="eastAsia"/>
                <w:color w:val="000000"/>
                <w:kern w:val="0"/>
                <w:sz w:val="16"/>
                <w:szCs w:val="16"/>
                <w:lang/>
              </w:rPr>
              <w:t>项目年度目标完成情况</w:t>
            </w: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项目年度目标</w:t>
            </w:r>
          </w:p>
        </w:tc>
        <w:tc>
          <w:tcPr>
            <w:tcW w:w="33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年度目标完成情况</w:t>
            </w:r>
          </w:p>
        </w:tc>
      </w:tr>
      <w:tr w:rsidR="00D56551">
        <w:trPr>
          <w:trHeight w:val="863"/>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2022</w:t>
            </w:r>
            <w:r>
              <w:rPr>
                <w:rFonts w:ascii="宋体" w:hAnsi="宋体" w:cs="宋体" w:hint="eastAsia"/>
                <w:color w:val="000000"/>
                <w:kern w:val="0"/>
                <w:sz w:val="16"/>
                <w:szCs w:val="16"/>
                <w:lang/>
              </w:rPr>
              <w:t>年农村订单定向学生补助，进一步加强全科医学人才队伍建设，提升农村基层医疗卫生队伍整体素质和水平，促进城乡区域医疗卫生事业协调发展。</w:t>
            </w:r>
          </w:p>
        </w:tc>
        <w:tc>
          <w:tcPr>
            <w:tcW w:w="33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进一步加强全科医学人才队伍建设，提升农村基层医疗卫生队伍整体素质和水平，促进城乡区域医疗卫生事业协调发展。</w:t>
            </w:r>
          </w:p>
        </w:tc>
      </w:tr>
      <w:tr w:rsidR="00D56551">
        <w:trPr>
          <w:trHeight w:val="863"/>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2.</w:t>
            </w:r>
            <w:r>
              <w:rPr>
                <w:rFonts w:ascii="宋体" w:hAnsi="宋体" w:cs="宋体" w:hint="eastAsia"/>
                <w:color w:val="000000"/>
                <w:kern w:val="0"/>
                <w:sz w:val="16"/>
                <w:szCs w:val="16"/>
                <w:lang/>
              </w:rPr>
              <w:t>项目实施内容及过程概述</w:t>
            </w:r>
          </w:p>
        </w:tc>
        <w:tc>
          <w:tcPr>
            <w:tcW w:w="779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根据《四川省</w:t>
            </w:r>
            <w:r>
              <w:rPr>
                <w:rFonts w:ascii="宋体" w:hAnsi="宋体" w:cs="宋体" w:hint="eastAsia"/>
                <w:color w:val="000000"/>
                <w:kern w:val="0"/>
                <w:sz w:val="16"/>
                <w:szCs w:val="16"/>
                <w:lang/>
              </w:rPr>
              <w:t>2021</w:t>
            </w:r>
            <w:r>
              <w:rPr>
                <w:rFonts w:ascii="宋体" w:hAnsi="宋体" w:cs="宋体" w:hint="eastAsia"/>
                <w:color w:val="000000"/>
                <w:kern w:val="0"/>
                <w:sz w:val="16"/>
                <w:szCs w:val="16"/>
                <w:lang/>
              </w:rPr>
              <w:t>年免费医学生（专科）定向培养和乡村医生定向委培经费管理方案》文件，给予</w:t>
            </w:r>
            <w:r>
              <w:rPr>
                <w:rFonts w:ascii="宋体" w:hAnsi="宋体" w:cs="宋体" w:hint="eastAsia"/>
                <w:color w:val="000000"/>
                <w:kern w:val="0"/>
                <w:sz w:val="16"/>
                <w:szCs w:val="16"/>
                <w:lang/>
              </w:rPr>
              <w:t>2022</w:t>
            </w:r>
            <w:r>
              <w:rPr>
                <w:rFonts w:ascii="宋体" w:hAnsi="宋体" w:cs="宋体" w:hint="eastAsia"/>
                <w:color w:val="000000"/>
                <w:kern w:val="0"/>
                <w:sz w:val="16"/>
                <w:szCs w:val="16"/>
                <w:lang/>
              </w:rPr>
              <w:t>年农村订单定向学生补助，进一步加强全科医学人才队伍建设，提升农村基层医疗卫生队伍整体素质和水平，促进城乡区域医疗卫生事业协调发展。</w:t>
            </w:r>
          </w:p>
        </w:tc>
      </w:tr>
      <w:tr w:rsidR="00D56551">
        <w:trPr>
          <w:trHeight w:val="578"/>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预算执行情况（</w:t>
            </w:r>
            <w:r>
              <w:rPr>
                <w:rFonts w:ascii="宋体" w:hAnsi="宋体" w:cs="宋体" w:hint="eastAsia"/>
                <w:color w:val="000000"/>
                <w:kern w:val="0"/>
                <w:sz w:val="16"/>
                <w:szCs w:val="16"/>
                <w:lang/>
              </w:rPr>
              <w:t>10</w:t>
            </w:r>
            <w:r>
              <w:rPr>
                <w:rFonts w:ascii="宋体" w:hAnsi="宋体" w:cs="宋体" w:hint="eastAsia"/>
                <w:color w:val="000000"/>
                <w:kern w:val="0"/>
                <w:sz w:val="16"/>
                <w:szCs w:val="16"/>
                <w:lang/>
              </w:rPr>
              <w:t>分）</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年度预算数（万元）</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年初预算</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调整后预算数</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预算执行数</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预算执行率</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得分</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原因</w:t>
            </w:r>
          </w:p>
        </w:tc>
      </w:tr>
      <w:tr w:rsidR="00D56551">
        <w:trPr>
          <w:trHeight w:val="339"/>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总额</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14.40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14.40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16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74"/>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其中：财政资金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14.40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14.40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财政专户管理资金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50"/>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单位资金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32"/>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其他资金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1147"/>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绩效指标（</w:t>
            </w:r>
            <w:r>
              <w:rPr>
                <w:rFonts w:ascii="宋体" w:hAnsi="宋体" w:cs="宋体" w:hint="eastAsia"/>
                <w:color w:val="000000"/>
                <w:kern w:val="0"/>
                <w:sz w:val="16"/>
                <w:szCs w:val="16"/>
                <w:lang/>
              </w:rPr>
              <w:t>90</w:t>
            </w:r>
            <w:r>
              <w:rPr>
                <w:rFonts w:ascii="宋体" w:hAnsi="宋体" w:cs="宋体" w:hint="eastAsia"/>
                <w:color w:val="000000"/>
                <w:kern w:val="0"/>
                <w:sz w:val="16"/>
                <w:szCs w:val="16"/>
                <w:lang/>
              </w:rPr>
              <w:t>分）</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一级指标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二级指标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三级指标</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指标性质</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指标值</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度量单位</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完成值</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得分</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未完成原因分析</w:t>
            </w: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产出指标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数量指标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14.4</w:t>
            </w:r>
            <w:r>
              <w:rPr>
                <w:rFonts w:ascii="宋体" w:hAnsi="宋体" w:cs="宋体" w:hint="eastAsia"/>
                <w:color w:val="000000"/>
                <w:kern w:val="0"/>
                <w:sz w:val="16"/>
                <w:szCs w:val="16"/>
                <w:lang/>
              </w:rPr>
              <w:t>万元向学生发放。</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14.4</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万元</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14.4</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时效指标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2022</w:t>
            </w:r>
            <w:r>
              <w:rPr>
                <w:rFonts w:ascii="宋体" w:hAnsi="宋体" w:cs="宋体" w:hint="eastAsia"/>
                <w:color w:val="000000"/>
                <w:kern w:val="0"/>
                <w:sz w:val="16"/>
                <w:szCs w:val="16"/>
                <w:lang/>
              </w:rPr>
              <w:t>年</w:t>
            </w:r>
            <w:r>
              <w:rPr>
                <w:rFonts w:ascii="宋体" w:hAnsi="宋体" w:cs="宋体" w:hint="eastAsia"/>
                <w:color w:val="000000"/>
                <w:kern w:val="0"/>
                <w:sz w:val="16"/>
                <w:szCs w:val="16"/>
                <w:lang/>
              </w:rPr>
              <w:t>12</w:t>
            </w:r>
            <w:r>
              <w:rPr>
                <w:rFonts w:ascii="宋体" w:hAnsi="宋体" w:cs="宋体" w:hint="eastAsia"/>
                <w:color w:val="000000"/>
                <w:kern w:val="0"/>
                <w:sz w:val="16"/>
                <w:szCs w:val="16"/>
                <w:lang/>
              </w:rPr>
              <w:t>月</w:t>
            </w:r>
            <w:r>
              <w:rPr>
                <w:rFonts w:ascii="宋体" w:hAnsi="宋体" w:cs="宋体" w:hint="eastAsia"/>
                <w:color w:val="000000"/>
                <w:kern w:val="0"/>
                <w:sz w:val="16"/>
                <w:szCs w:val="16"/>
                <w:lang/>
              </w:rPr>
              <w:t>31</w:t>
            </w:r>
            <w:r>
              <w:rPr>
                <w:rFonts w:ascii="宋体" w:hAnsi="宋体" w:cs="宋体" w:hint="eastAsia"/>
                <w:color w:val="000000"/>
                <w:kern w:val="0"/>
                <w:sz w:val="16"/>
                <w:szCs w:val="16"/>
                <w:lang/>
              </w:rPr>
              <w:t>日之前发放。</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效益指标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社会效益指标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进一步加强全科医学人才队伍建设。</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定性</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好坏</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好</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满意度指标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帮扶对象满意度指标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订单定向学生满意度</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90</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90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294"/>
        </w:trPr>
        <w:tc>
          <w:tcPr>
            <w:tcW w:w="707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合计</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评价结论</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自评总分</w:t>
            </w:r>
            <w:r>
              <w:rPr>
                <w:rFonts w:ascii="宋体" w:hAnsi="宋体" w:cs="宋体" w:hint="eastAsia"/>
                <w:i/>
                <w:iCs/>
                <w:color w:val="000000"/>
                <w:kern w:val="0"/>
                <w:sz w:val="16"/>
                <w:szCs w:val="16"/>
                <w:lang/>
              </w:rPr>
              <w:t>100</w:t>
            </w:r>
            <w:r>
              <w:rPr>
                <w:rFonts w:ascii="宋体" w:hAnsi="宋体" w:cs="宋体" w:hint="eastAsia"/>
                <w:i/>
                <w:iCs/>
                <w:color w:val="000000"/>
                <w:kern w:val="0"/>
                <w:sz w:val="16"/>
                <w:szCs w:val="16"/>
                <w:lang/>
              </w:rPr>
              <w:t>分，该笔资金用于</w:t>
            </w:r>
            <w:r>
              <w:rPr>
                <w:rFonts w:ascii="宋体" w:hAnsi="宋体" w:cs="宋体" w:hint="eastAsia"/>
                <w:i/>
                <w:iCs/>
                <w:color w:val="000000"/>
                <w:kern w:val="0"/>
                <w:sz w:val="16"/>
                <w:szCs w:val="16"/>
                <w:lang/>
              </w:rPr>
              <w:t>2022</w:t>
            </w:r>
            <w:r>
              <w:rPr>
                <w:rFonts w:ascii="宋体" w:hAnsi="宋体" w:cs="宋体" w:hint="eastAsia"/>
                <w:i/>
                <w:iCs/>
                <w:color w:val="000000"/>
                <w:kern w:val="0"/>
                <w:sz w:val="16"/>
                <w:szCs w:val="16"/>
                <w:lang/>
              </w:rPr>
              <w:t>年农村订单定向学生补助，进一步加强全科医学人才队伍建设，提升农村基层医疗卫生队伍整体素质和水平，促进城乡区域医疗卫生事业协调发展。</w:t>
            </w: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存在问题</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无</w:t>
            </w: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改进措施</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无</w:t>
            </w:r>
          </w:p>
        </w:tc>
      </w:tr>
      <w:tr w:rsidR="00D56551">
        <w:trPr>
          <w:trHeight w:val="294"/>
        </w:trPr>
        <w:tc>
          <w:tcPr>
            <w:tcW w:w="482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项目负责人：王帅亭子</w:t>
            </w:r>
          </w:p>
        </w:tc>
        <w:tc>
          <w:tcPr>
            <w:tcW w:w="479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财务负责人：李小华</w:t>
            </w:r>
          </w:p>
        </w:tc>
      </w:tr>
      <w:tr w:rsidR="00D56551">
        <w:trPr>
          <w:trHeight w:val="294"/>
        </w:trPr>
        <w:tc>
          <w:tcPr>
            <w:tcW w:w="640"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18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074"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502"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22"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7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01"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7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5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56" w:type="dxa"/>
            <w:tcBorders>
              <w:top w:val="nil"/>
              <w:left w:val="nil"/>
              <w:bottom w:val="nil"/>
              <w:right w:val="nil"/>
            </w:tcBorders>
            <w:shd w:val="clear" w:color="auto" w:fill="auto"/>
            <w:vAlign w:val="center"/>
          </w:tcPr>
          <w:p w:rsidR="00D56551" w:rsidRDefault="00D56551">
            <w:pPr>
              <w:jc w:val="center"/>
              <w:rPr>
                <w:rFonts w:ascii="宋体" w:hAnsi="宋体" w:cs="宋体"/>
                <w:color w:val="000000"/>
                <w:sz w:val="16"/>
                <w:szCs w:val="16"/>
              </w:rPr>
            </w:pPr>
          </w:p>
        </w:tc>
        <w:tc>
          <w:tcPr>
            <w:tcW w:w="1631"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r>
      <w:tr w:rsidR="00D56551">
        <w:trPr>
          <w:trHeight w:val="754"/>
        </w:trPr>
        <w:tc>
          <w:tcPr>
            <w:tcW w:w="962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rPr>
              <w:t>部门预算项目支出绩效自评表（</w:t>
            </w:r>
            <w:r>
              <w:rPr>
                <w:rFonts w:ascii="宋体" w:hAnsi="宋体" w:cs="宋体" w:hint="eastAsia"/>
                <w:b/>
                <w:bCs/>
                <w:color w:val="000000"/>
                <w:kern w:val="0"/>
                <w:sz w:val="16"/>
                <w:szCs w:val="16"/>
                <w:lang/>
              </w:rPr>
              <w:t>2022</w:t>
            </w:r>
            <w:r>
              <w:rPr>
                <w:rFonts w:ascii="宋体" w:hAnsi="宋体" w:cs="宋体" w:hint="eastAsia"/>
                <w:b/>
                <w:bCs/>
                <w:color w:val="000000"/>
                <w:kern w:val="0"/>
                <w:sz w:val="16"/>
                <w:szCs w:val="16"/>
                <w:lang/>
              </w:rPr>
              <w:t>年度）</w:t>
            </w:r>
          </w:p>
        </w:tc>
      </w:tr>
      <w:tr w:rsidR="00D56551">
        <w:trPr>
          <w:trHeight w:val="294"/>
        </w:trPr>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项目名称</w:t>
            </w:r>
          </w:p>
        </w:tc>
        <w:tc>
          <w:tcPr>
            <w:tcW w:w="779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51000022T000004879402-</w:t>
            </w:r>
            <w:r>
              <w:rPr>
                <w:rFonts w:ascii="宋体" w:hAnsi="宋体" w:cs="宋体" w:hint="eastAsia"/>
                <w:color w:val="000000"/>
                <w:kern w:val="0"/>
                <w:sz w:val="16"/>
                <w:szCs w:val="16"/>
                <w:lang/>
              </w:rPr>
              <w:t>支持地方高校改革发展专项资金</w:t>
            </w:r>
            <w:r>
              <w:rPr>
                <w:rFonts w:ascii="宋体" w:hAnsi="宋体" w:cs="宋体" w:hint="eastAsia"/>
                <w:color w:val="000000"/>
                <w:kern w:val="0"/>
                <w:sz w:val="16"/>
                <w:szCs w:val="16"/>
                <w:lang/>
              </w:rPr>
              <w:t>-</w:t>
            </w:r>
            <w:r>
              <w:rPr>
                <w:rFonts w:ascii="宋体" w:hAnsi="宋体" w:cs="宋体" w:hint="eastAsia"/>
                <w:color w:val="000000"/>
                <w:kern w:val="0"/>
                <w:sz w:val="16"/>
                <w:szCs w:val="16"/>
                <w:lang/>
              </w:rPr>
              <w:t>川北医学院</w:t>
            </w:r>
          </w:p>
        </w:tc>
      </w:tr>
      <w:tr w:rsidR="00D56551">
        <w:trPr>
          <w:trHeight w:val="863"/>
        </w:trPr>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主管部门</w:t>
            </w: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四川省教育厅部门</w:t>
            </w:r>
          </w:p>
        </w:tc>
        <w:tc>
          <w:tcPr>
            <w:tcW w:w="776" w:type="dxa"/>
            <w:tcBorders>
              <w:top w:val="nil"/>
              <w:left w:val="nil"/>
              <w:bottom w:val="nil"/>
              <w:right w:val="nil"/>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实施单位</w:t>
            </w:r>
            <w:r>
              <w:rPr>
                <w:rFonts w:ascii="宋体" w:hAnsi="宋体" w:cs="宋体" w:hint="eastAsia"/>
                <w:color w:val="000000"/>
                <w:kern w:val="0"/>
                <w:sz w:val="16"/>
                <w:szCs w:val="16"/>
                <w:lang/>
              </w:rPr>
              <w:t xml:space="preserve"> </w:t>
            </w:r>
            <w:r>
              <w:rPr>
                <w:rFonts w:ascii="宋体" w:hAnsi="宋体" w:cs="宋体" w:hint="eastAsia"/>
                <w:color w:val="000000"/>
                <w:kern w:val="0"/>
                <w:sz w:val="16"/>
                <w:szCs w:val="16"/>
                <w:lang/>
              </w:rPr>
              <w:t>（盖章）</w:t>
            </w:r>
          </w:p>
        </w:tc>
        <w:tc>
          <w:tcPr>
            <w:tcW w:w="25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川北医学院</w:t>
            </w:r>
          </w:p>
        </w:tc>
      </w:tr>
      <w:tr w:rsidR="00D56551">
        <w:trPr>
          <w:trHeight w:val="294"/>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项目基本情况</w:t>
            </w: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1.</w:t>
            </w:r>
            <w:r>
              <w:rPr>
                <w:rFonts w:ascii="宋体" w:hAnsi="宋体" w:cs="宋体" w:hint="eastAsia"/>
                <w:color w:val="000000"/>
                <w:kern w:val="0"/>
                <w:sz w:val="16"/>
                <w:szCs w:val="16"/>
                <w:lang/>
              </w:rPr>
              <w:t>项目年度目标完成情况</w:t>
            </w: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项目年度目标</w:t>
            </w:r>
          </w:p>
        </w:tc>
        <w:tc>
          <w:tcPr>
            <w:tcW w:w="33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年度目标完成情况</w:t>
            </w:r>
          </w:p>
        </w:tc>
      </w:tr>
      <w:tr w:rsidR="00D56551">
        <w:trPr>
          <w:trHeight w:val="597"/>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资金用于改善学校教学基础条件，提升学科建设水平，早日建医科大；培养大于</w:t>
            </w:r>
            <w:r>
              <w:rPr>
                <w:rFonts w:ascii="宋体" w:hAnsi="宋体" w:cs="宋体" w:hint="eastAsia"/>
                <w:color w:val="000000"/>
                <w:kern w:val="0"/>
                <w:sz w:val="16"/>
                <w:szCs w:val="16"/>
                <w:lang/>
              </w:rPr>
              <w:t>3000</w:t>
            </w:r>
            <w:r>
              <w:rPr>
                <w:rFonts w:ascii="宋体" w:hAnsi="宋体" w:cs="宋体" w:hint="eastAsia"/>
                <w:color w:val="000000"/>
                <w:kern w:val="0"/>
                <w:sz w:val="16"/>
                <w:szCs w:val="16"/>
                <w:lang/>
              </w:rPr>
              <w:t>名学生毕业，服务地方经济。</w:t>
            </w:r>
          </w:p>
        </w:tc>
        <w:tc>
          <w:tcPr>
            <w:tcW w:w="33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改善基本办学条件，深化教育教学改革，加快学校内涵式发展，提升服务经济社会发展能力。</w:t>
            </w:r>
          </w:p>
        </w:tc>
      </w:tr>
      <w:tr w:rsidR="00D56551">
        <w:trPr>
          <w:trHeight w:val="585"/>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2.</w:t>
            </w:r>
            <w:r>
              <w:rPr>
                <w:rFonts w:ascii="宋体" w:hAnsi="宋体" w:cs="宋体" w:hint="eastAsia"/>
                <w:color w:val="000000"/>
                <w:kern w:val="0"/>
                <w:sz w:val="16"/>
                <w:szCs w:val="16"/>
                <w:lang/>
              </w:rPr>
              <w:t>项目实施内容及过程概述</w:t>
            </w:r>
          </w:p>
        </w:tc>
        <w:tc>
          <w:tcPr>
            <w:tcW w:w="779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结合学校实际情况，该笔资金统筹使用，用于改善基本办学条件，深化教育教学改革，加快学校内涵式发展，提升服务经济社会发展能力。</w:t>
            </w:r>
          </w:p>
        </w:tc>
      </w:tr>
      <w:tr w:rsidR="00D56551">
        <w:trPr>
          <w:trHeight w:val="578"/>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预算执行情况（</w:t>
            </w:r>
            <w:r>
              <w:rPr>
                <w:rFonts w:ascii="宋体" w:hAnsi="宋体" w:cs="宋体" w:hint="eastAsia"/>
                <w:color w:val="000000"/>
                <w:kern w:val="0"/>
                <w:sz w:val="16"/>
                <w:szCs w:val="16"/>
                <w:lang/>
              </w:rPr>
              <w:t>10</w:t>
            </w:r>
            <w:r>
              <w:rPr>
                <w:rFonts w:ascii="宋体" w:hAnsi="宋体" w:cs="宋体" w:hint="eastAsia"/>
                <w:color w:val="000000"/>
                <w:kern w:val="0"/>
                <w:sz w:val="16"/>
                <w:szCs w:val="16"/>
                <w:lang/>
              </w:rPr>
              <w:t>分）</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年度预算数（万元）</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年初预算</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调整后预算数</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预算执行数</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预算执行率</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得分</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原因</w:t>
            </w:r>
          </w:p>
        </w:tc>
      </w:tr>
      <w:tr w:rsidR="00D56551">
        <w:trPr>
          <w:trHeight w:val="339"/>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总额</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919.00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919.00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919.00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16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74"/>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其中：财政资金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919.00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919.00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919.00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财政专户管理资金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50"/>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单位资金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32"/>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其他资金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1147"/>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绩效指标（</w:t>
            </w:r>
            <w:r>
              <w:rPr>
                <w:rFonts w:ascii="宋体" w:hAnsi="宋体" w:cs="宋体" w:hint="eastAsia"/>
                <w:color w:val="000000"/>
                <w:kern w:val="0"/>
                <w:sz w:val="16"/>
                <w:szCs w:val="16"/>
                <w:lang/>
              </w:rPr>
              <w:t>90</w:t>
            </w:r>
            <w:r>
              <w:rPr>
                <w:rFonts w:ascii="宋体" w:hAnsi="宋体" w:cs="宋体" w:hint="eastAsia"/>
                <w:color w:val="000000"/>
                <w:kern w:val="0"/>
                <w:sz w:val="16"/>
                <w:szCs w:val="16"/>
                <w:lang/>
              </w:rPr>
              <w:t>分）</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一级指标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二级指标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三级指标</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指标性质</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指标值</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度量单位</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完成值</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得分</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未完成原因分析</w:t>
            </w: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产出指标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数量指标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改善学校教学基础条件</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919</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万元</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919</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时效指标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截止</w:t>
            </w:r>
            <w:r>
              <w:rPr>
                <w:rFonts w:ascii="宋体" w:hAnsi="宋体" w:cs="宋体" w:hint="eastAsia"/>
                <w:color w:val="000000"/>
                <w:kern w:val="0"/>
                <w:sz w:val="16"/>
                <w:szCs w:val="16"/>
                <w:lang/>
              </w:rPr>
              <w:t>2022</w:t>
            </w:r>
            <w:r>
              <w:rPr>
                <w:rFonts w:ascii="宋体" w:hAnsi="宋体" w:cs="宋体" w:hint="eastAsia"/>
                <w:color w:val="000000"/>
                <w:kern w:val="0"/>
                <w:sz w:val="16"/>
                <w:szCs w:val="16"/>
                <w:lang/>
              </w:rPr>
              <w:t>年</w:t>
            </w:r>
            <w:r>
              <w:rPr>
                <w:rFonts w:ascii="宋体" w:hAnsi="宋体" w:cs="宋体" w:hint="eastAsia"/>
                <w:color w:val="000000"/>
                <w:kern w:val="0"/>
                <w:sz w:val="16"/>
                <w:szCs w:val="16"/>
                <w:lang/>
              </w:rPr>
              <w:t>12</w:t>
            </w:r>
            <w:r>
              <w:rPr>
                <w:rFonts w:ascii="宋体" w:hAnsi="宋体" w:cs="宋体" w:hint="eastAsia"/>
                <w:color w:val="000000"/>
                <w:kern w:val="0"/>
                <w:sz w:val="16"/>
                <w:szCs w:val="16"/>
                <w:lang/>
              </w:rPr>
              <w:t>月底完成</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1</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效益指标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社会效益指标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培养人才服务地方经济</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3000</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人</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3000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可持续发展指标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学校未来可持续发展，早日更名大学。</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50</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50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299"/>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满意度指标</w:t>
            </w:r>
          </w:p>
        </w:tc>
        <w:tc>
          <w:tcPr>
            <w:tcW w:w="10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服务对象满意度指标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当地居民满意</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300</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万人</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300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5</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5</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299"/>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师生满意度</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90</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90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5</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5</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294"/>
        </w:trPr>
        <w:tc>
          <w:tcPr>
            <w:tcW w:w="707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合计</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评价结论</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自评总分</w:t>
            </w:r>
            <w:r>
              <w:rPr>
                <w:rFonts w:ascii="宋体" w:hAnsi="宋体" w:cs="宋体" w:hint="eastAsia"/>
                <w:i/>
                <w:iCs/>
                <w:color w:val="000000"/>
                <w:kern w:val="0"/>
                <w:sz w:val="16"/>
                <w:szCs w:val="16"/>
                <w:lang/>
              </w:rPr>
              <w:t>100</w:t>
            </w:r>
            <w:r>
              <w:rPr>
                <w:rFonts w:ascii="宋体" w:hAnsi="宋体" w:cs="宋体" w:hint="eastAsia"/>
                <w:i/>
                <w:iCs/>
                <w:color w:val="000000"/>
                <w:kern w:val="0"/>
                <w:sz w:val="16"/>
                <w:szCs w:val="16"/>
                <w:lang/>
              </w:rPr>
              <w:t>分，该笔资金主要用于改善基本办学条件，深化教育教学改革，加快学校内涵式发展，提升服务经济社会发展能力。</w:t>
            </w: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存在问题</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无</w:t>
            </w: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改进措施</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无</w:t>
            </w:r>
          </w:p>
        </w:tc>
      </w:tr>
      <w:tr w:rsidR="00D56551">
        <w:trPr>
          <w:trHeight w:val="294"/>
        </w:trPr>
        <w:tc>
          <w:tcPr>
            <w:tcW w:w="482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项目负责人：李小华</w:t>
            </w:r>
          </w:p>
        </w:tc>
        <w:tc>
          <w:tcPr>
            <w:tcW w:w="479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财务负责人：李小华</w:t>
            </w:r>
          </w:p>
        </w:tc>
      </w:tr>
      <w:tr w:rsidR="00D56551">
        <w:trPr>
          <w:trHeight w:val="294"/>
        </w:trPr>
        <w:tc>
          <w:tcPr>
            <w:tcW w:w="640"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18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074"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502"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22"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7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01"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7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5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56" w:type="dxa"/>
            <w:tcBorders>
              <w:top w:val="nil"/>
              <w:left w:val="nil"/>
              <w:bottom w:val="nil"/>
              <w:right w:val="nil"/>
            </w:tcBorders>
            <w:shd w:val="clear" w:color="auto" w:fill="auto"/>
            <w:vAlign w:val="center"/>
          </w:tcPr>
          <w:p w:rsidR="00D56551" w:rsidRDefault="00D56551">
            <w:pPr>
              <w:jc w:val="center"/>
              <w:rPr>
                <w:rFonts w:ascii="宋体" w:hAnsi="宋体" w:cs="宋体"/>
                <w:color w:val="000000"/>
                <w:sz w:val="16"/>
                <w:szCs w:val="16"/>
              </w:rPr>
            </w:pPr>
          </w:p>
        </w:tc>
        <w:tc>
          <w:tcPr>
            <w:tcW w:w="1631"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r>
      <w:tr w:rsidR="00D56551">
        <w:trPr>
          <w:trHeight w:val="754"/>
        </w:trPr>
        <w:tc>
          <w:tcPr>
            <w:tcW w:w="962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rPr>
              <w:t>部门预算项目支出绩效自评表（</w:t>
            </w:r>
            <w:r>
              <w:rPr>
                <w:rFonts w:ascii="宋体" w:hAnsi="宋体" w:cs="宋体" w:hint="eastAsia"/>
                <w:b/>
                <w:bCs/>
                <w:color w:val="000000"/>
                <w:kern w:val="0"/>
                <w:sz w:val="16"/>
                <w:szCs w:val="16"/>
                <w:lang/>
              </w:rPr>
              <w:t>2022</w:t>
            </w:r>
            <w:r>
              <w:rPr>
                <w:rFonts w:ascii="宋体" w:hAnsi="宋体" w:cs="宋体" w:hint="eastAsia"/>
                <w:b/>
                <w:bCs/>
                <w:color w:val="000000"/>
                <w:kern w:val="0"/>
                <w:sz w:val="16"/>
                <w:szCs w:val="16"/>
                <w:lang/>
              </w:rPr>
              <w:t>年度）</w:t>
            </w:r>
          </w:p>
        </w:tc>
      </w:tr>
      <w:tr w:rsidR="00D56551">
        <w:trPr>
          <w:trHeight w:val="294"/>
        </w:trPr>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项目名称</w:t>
            </w:r>
          </w:p>
        </w:tc>
        <w:tc>
          <w:tcPr>
            <w:tcW w:w="779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51000022T000004883381-</w:t>
            </w:r>
            <w:r>
              <w:rPr>
                <w:rFonts w:ascii="宋体" w:hAnsi="宋体" w:cs="宋体" w:hint="eastAsia"/>
                <w:color w:val="000000"/>
                <w:kern w:val="0"/>
                <w:sz w:val="16"/>
                <w:szCs w:val="16"/>
                <w:lang/>
              </w:rPr>
              <w:t>天府英才工程专项资金</w:t>
            </w:r>
          </w:p>
        </w:tc>
      </w:tr>
      <w:tr w:rsidR="00D56551">
        <w:trPr>
          <w:trHeight w:val="863"/>
        </w:trPr>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主管部门</w:t>
            </w: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四川省教育厅部门</w:t>
            </w:r>
          </w:p>
        </w:tc>
        <w:tc>
          <w:tcPr>
            <w:tcW w:w="776" w:type="dxa"/>
            <w:tcBorders>
              <w:top w:val="nil"/>
              <w:left w:val="nil"/>
              <w:bottom w:val="nil"/>
              <w:right w:val="nil"/>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实施单位</w:t>
            </w:r>
            <w:r>
              <w:rPr>
                <w:rFonts w:ascii="宋体" w:hAnsi="宋体" w:cs="宋体" w:hint="eastAsia"/>
                <w:color w:val="000000"/>
                <w:kern w:val="0"/>
                <w:sz w:val="16"/>
                <w:szCs w:val="16"/>
                <w:lang/>
              </w:rPr>
              <w:t xml:space="preserve"> </w:t>
            </w:r>
            <w:r>
              <w:rPr>
                <w:rFonts w:ascii="宋体" w:hAnsi="宋体" w:cs="宋体" w:hint="eastAsia"/>
                <w:color w:val="000000"/>
                <w:kern w:val="0"/>
                <w:sz w:val="16"/>
                <w:szCs w:val="16"/>
                <w:lang/>
              </w:rPr>
              <w:t>（盖章）</w:t>
            </w:r>
          </w:p>
        </w:tc>
        <w:tc>
          <w:tcPr>
            <w:tcW w:w="25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川北医学院</w:t>
            </w:r>
          </w:p>
        </w:tc>
      </w:tr>
      <w:tr w:rsidR="00D56551">
        <w:trPr>
          <w:trHeight w:val="294"/>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项目基本情况</w:t>
            </w: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1.</w:t>
            </w:r>
            <w:r>
              <w:rPr>
                <w:rFonts w:ascii="宋体" w:hAnsi="宋体" w:cs="宋体" w:hint="eastAsia"/>
                <w:color w:val="000000"/>
                <w:kern w:val="0"/>
                <w:sz w:val="16"/>
                <w:szCs w:val="16"/>
                <w:lang/>
              </w:rPr>
              <w:t>项目年度目标完成情况</w:t>
            </w: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项目年度目标</w:t>
            </w:r>
          </w:p>
        </w:tc>
        <w:tc>
          <w:tcPr>
            <w:tcW w:w="33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年度目标完成情况</w:t>
            </w:r>
          </w:p>
        </w:tc>
      </w:tr>
      <w:tr w:rsidR="00D56551">
        <w:trPr>
          <w:trHeight w:val="863"/>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(1)</w:t>
            </w:r>
            <w:r>
              <w:rPr>
                <w:rFonts w:ascii="宋体" w:hAnsi="宋体" w:cs="宋体" w:hint="eastAsia"/>
                <w:color w:val="000000"/>
                <w:kern w:val="0"/>
                <w:sz w:val="16"/>
                <w:szCs w:val="16"/>
                <w:lang/>
              </w:rPr>
              <w:t>基础研究成果预期发表</w:t>
            </w:r>
            <w:r>
              <w:rPr>
                <w:rFonts w:ascii="宋体" w:hAnsi="宋体" w:cs="宋体" w:hint="eastAsia"/>
                <w:color w:val="000000"/>
                <w:kern w:val="0"/>
                <w:sz w:val="16"/>
                <w:szCs w:val="16"/>
                <w:lang/>
              </w:rPr>
              <w:t>SCI</w:t>
            </w:r>
            <w:r>
              <w:rPr>
                <w:rFonts w:ascii="宋体" w:hAnsi="宋体" w:cs="宋体" w:hint="eastAsia"/>
                <w:color w:val="000000"/>
                <w:kern w:val="0"/>
                <w:sz w:val="16"/>
                <w:szCs w:val="16"/>
                <w:lang/>
              </w:rPr>
              <w:t>收录科研论文</w:t>
            </w:r>
            <w:r>
              <w:rPr>
                <w:rFonts w:ascii="宋体" w:hAnsi="宋体" w:cs="宋体" w:hint="eastAsia"/>
                <w:color w:val="000000"/>
                <w:kern w:val="0"/>
                <w:sz w:val="16"/>
                <w:szCs w:val="16"/>
                <w:lang/>
              </w:rPr>
              <w:t>1</w:t>
            </w:r>
            <w:r>
              <w:rPr>
                <w:rFonts w:ascii="宋体" w:hAnsi="宋体" w:cs="宋体" w:hint="eastAsia"/>
                <w:color w:val="000000"/>
                <w:kern w:val="0"/>
                <w:sz w:val="16"/>
                <w:szCs w:val="16"/>
                <w:lang/>
              </w:rPr>
              <w:t>篇；</w:t>
            </w:r>
            <w:r>
              <w:rPr>
                <w:rFonts w:ascii="宋体" w:hAnsi="宋体" w:cs="宋体" w:hint="eastAsia"/>
                <w:color w:val="000000"/>
                <w:kern w:val="0"/>
                <w:sz w:val="16"/>
                <w:szCs w:val="16"/>
                <w:lang/>
              </w:rPr>
              <w:br/>
              <w:t>(2)</w:t>
            </w:r>
            <w:r>
              <w:rPr>
                <w:rFonts w:ascii="宋体" w:hAnsi="宋体" w:cs="宋体" w:hint="eastAsia"/>
                <w:color w:val="000000"/>
                <w:kern w:val="0"/>
                <w:sz w:val="16"/>
                <w:szCs w:val="16"/>
                <w:lang/>
              </w:rPr>
              <w:t>应用研究成果申请发明专利</w:t>
            </w:r>
            <w:r>
              <w:rPr>
                <w:rFonts w:ascii="宋体" w:hAnsi="宋体" w:cs="宋体" w:hint="eastAsia"/>
                <w:color w:val="000000"/>
                <w:kern w:val="0"/>
                <w:sz w:val="16"/>
                <w:szCs w:val="16"/>
                <w:lang/>
              </w:rPr>
              <w:t>1</w:t>
            </w:r>
            <w:r>
              <w:rPr>
                <w:rFonts w:ascii="宋体" w:hAnsi="宋体" w:cs="宋体" w:hint="eastAsia"/>
                <w:color w:val="000000"/>
                <w:kern w:val="0"/>
                <w:sz w:val="16"/>
                <w:szCs w:val="16"/>
                <w:lang/>
              </w:rPr>
              <w:t>项；</w:t>
            </w:r>
            <w:r>
              <w:rPr>
                <w:rFonts w:ascii="宋体" w:hAnsi="宋体" w:cs="宋体" w:hint="eastAsia"/>
                <w:color w:val="000000"/>
                <w:kern w:val="0"/>
                <w:sz w:val="16"/>
                <w:szCs w:val="16"/>
                <w:lang/>
              </w:rPr>
              <w:br/>
              <w:t>(3)</w:t>
            </w:r>
            <w:r>
              <w:rPr>
                <w:rFonts w:ascii="宋体" w:hAnsi="宋体" w:cs="宋体" w:hint="eastAsia"/>
                <w:color w:val="000000"/>
                <w:kern w:val="0"/>
                <w:sz w:val="16"/>
                <w:szCs w:val="16"/>
                <w:lang/>
              </w:rPr>
              <w:t>引进博士科研助理</w:t>
            </w:r>
            <w:r>
              <w:rPr>
                <w:rFonts w:ascii="宋体" w:hAnsi="宋体" w:cs="宋体" w:hint="eastAsia"/>
                <w:color w:val="000000"/>
                <w:kern w:val="0"/>
                <w:sz w:val="16"/>
                <w:szCs w:val="16"/>
                <w:lang/>
              </w:rPr>
              <w:t>1</w:t>
            </w:r>
            <w:r>
              <w:rPr>
                <w:rFonts w:ascii="宋体" w:hAnsi="宋体" w:cs="宋体" w:hint="eastAsia"/>
                <w:color w:val="000000"/>
                <w:kern w:val="0"/>
                <w:sz w:val="16"/>
                <w:szCs w:val="16"/>
                <w:lang/>
              </w:rPr>
              <w:t>名；</w:t>
            </w:r>
          </w:p>
        </w:tc>
        <w:tc>
          <w:tcPr>
            <w:tcW w:w="33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实际已引进博士科研助理</w:t>
            </w:r>
            <w:r>
              <w:rPr>
                <w:rFonts w:ascii="宋体" w:hAnsi="宋体" w:cs="宋体" w:hint="eastAsia"/>
                <w:color w:val="000000"/>
                <w:kern w:val="0"/>
                <w:sz w:val="16"/>
                <w:szCs w:val="16"/>
                <w:lang/>
              </w:rPr>
              <w:t>1</w:t>
            </w:r>
            <w:r>
              <w:rPr>
                <w:rFonts w:ascii="宋体" w:hAnsi="宋体" w:cs="宋体" w:hint="eastAsia"/>
                <w:color w:val="000000"/>
                <w:kern w:val="0"/>
                <w:sz w:val="16"/>
                <w:szCs w:val="16"/>
                <w:lang/>
              </w:rPr>
              <w:t>名，科研项目的复杂性和不确定性，未完成论文和成果专利。</w:t>
            </w:r>
          </w:p>
        </w:tc>
      </w:tr>
      <w:tr w:rsidR="00D56551">
        <w:trPr>
          <w:trHeight w:val="585"/>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2.</w:t>
            </w:r>
            <w:r>
              <w:rPr>
                <w:rFonts w:ascii="宋体" w:hAnsi="宋体" w:cs="宋体" w:hint="eastAsia"/>
                <w:color w:val="000000"/>
                <w:kern w:val="0"/>
                <w:sz w:val="16"/>
                <w:szCs w:val="16"/>
                <w:lang/>
              </w:rPr>
              <w:t>项目实施内容及过程概述</w:t>
            </w:r>
          </w:p>
        </w:tc>
        <w:tc>
          <w:tcPr>
            <w:tcW w:w="779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积极引进博士科研助理</w:t>
            </w:r>
            <w:r>
              <w:rPr>
                <w:rFonts w:ascii="宋体" w:hAnsi="宋体" w:cs="宋体" w:hint="eastAsia"/>
                <w:color w:val="000000"/>
                <w:kern w:val="0"/>
                <w:sz w:val="16"/>
                <w:szCs w:val="16"/>
                <w:lang/>
              </w:rPr>
              <w:t>1</w:t>
            </w:r>
            <w:r>
              <w:rPr>
                <w:rFonts w:ascii="宋体" w:hAnsi="宋体" w:cs="宋体" w:hint="eastAsia"/>
                <w:color w:val="000000"/>
                <w:kern w:val="0"/>
                <w:sz w:val="16"/>
                <w:szCs w:val="16"/>
                <w:lang/>
              </w:rPr>
              <w:t>名，因科研项目的复杂性和不确定性，暂未完成论文和成果专利。</w:t>
            </w:r>
          </w:p>
        </w:tc>
      </w:tr>
      <w:tr w:rsidR="00D56551">
        <w:trPr>
          <w:trHeight w:val="578"/>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预算执行情况（</w:t>
            </w:r>
            <w:r>
              <w:rPr>
                <w:rFonts w:ascii="宋体" w:hAnsi="宋体" w:cs="宋体" w:hint="eastAsia"/>
                <w:color w:val="000000"/>
                <w:kern w:val="0"/>
                <w:sz w:val="16"/>
                <w:szCs w:val="16"/>
                <w:lang/>
              </w:rPr>
              <w:t>10</w:t>
            </w:r>
            <w:r>
              <w:rPr>
                <w:rFonts w:ascii="宋体" w:hAnsi="宋体" w:cs="宋体" w:hint="eastAsia"/>
                <w:color w:val="000000"/>
                <w:kern w:val="0"/>
                <w:sz w:val="16"/>
                <w:szCs w:val="16"/>
                <w:lang/>
              </w:rPr>
              <w:t>分）</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年度预算数（万元）</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年初预算</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调整后预算数</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预算执行数</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预算执行率</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得分</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原因</w:t>
            </w:r>
          </w:p>
        </w:tc>
      </w:tr>
      <w:tr w:rsidR="00D56551">
        <w:trPr>
          <w:trHeight w:val="339"/>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总额</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50.00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50.00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16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74"/>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其中：财政资金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50.00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50.00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财政专户管理资金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50"/>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单位资金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32"/>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其他资金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1147"/>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绩效指标（</w:t>
            </w:r>
            <w:r>
              <w:rPr>
                <w:rFonts w:ascii="宋体" w:hAnsi="宋体" w:cs="宋体" w:hint="eastAsia"/>
                <w:color w:val="000000"/>
                <w:kern w:val="0"/>
                <w:sz w:val="16"/>
                <w:szCs w:val="16"/>
                <w:lang/>
              </w:rPr>
              <w:t>90</w:t>
            </w:r>
            <w:r>
              <w:rPr>
                <w:rFonts w:ascii="宋体" w:hAnsi="宋体" w:cs="宋体" w:hint="eastAsia"/>
                <w:color w:val="000000"/>
                <w:kern w:val="0"/>
                <w:sz w:val="16"/>
                <w:szCs w:val="16"/>
                <w:lang/>
              </w:rPr>
              <w:t>分）</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一级指标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二级指标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三级指标</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指标性质</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指标值</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度量单位</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完成值</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得分</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未完成原因分析</w:t>
            </w:r>
          </w:p>
        </w:tc>
      </w:tr>
      <w:tr w:rsidR="00D56551">
        <w:trPr>
          <w:trHeight w:val="863"/>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产出指标</w:t>
            </w:r>
          </w:p>
        </w:tc>
        <w:tc>
          <w:tcPr>
            <w:tcW w:w="10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数量指标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发表</w:t>
            </w:r>
            <w:r>
              <w:rPr>
                <w:rFonts w:ascii="宋体" w:hAnsi="宋体" w:cs="宋体" w:hint="eastAsia"/>
                <w:color w:val="000000"/>
                <w:kern w:val="0"/>
                <w:sz w:val="16"/>
                <w:szCs w:val="16"/>
                <w:lang/>
              </w:rPr>
              <w:t>sci</w:t>
            </w:r>
            <w:r>
              <w:rPr>
                <w:rFonts w:ascii="宋体" w:hAnsi="宋体" w:cs="宋体" w:hint="eastAsia"/>
                <w:color w:val="000000"/>
                <w:kern w:val="0"/>
                <w:sz w:val="16"/>
                <w:szCs w:val="16"/>
                <w:lang/>
              </w:rPr>
              <w:t>论文数量</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篇</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科研项目的复杂性和不确定性，未完成论文和成果专利。</w:t>
            </w:r>
          </w:p>
        </w:tc>
      </w:tr>
      <w:tr w:rsidR="00D56551">
        <w:trPr>
          <w:trHeight w:val="863"/>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申报国家发明专利数量</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项</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科研项目的复杂性和不确定性，未完成论文和成果专利。</w:t>
            </w: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引进博士科研助理数量</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名</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1</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r>
      <w:tr w:rsidR="00D56551">
        <w:trPr>
          <w:trHeight w:val="1147"/>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质量指标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项目完成率（完成数量指标中三项、两项、一项分别对应高、中、低等级）</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定性</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高中低</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级</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中</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5</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科研项目的复杂性和不确定性，部分完成目标，未完成论文和成果专利。</w:t>
            </w: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时效指标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于</w:t>
            </w:r>
            <w:r>
              <w:rPr>
                <w:rFonts w:ascii="宋体" w:hAnsi="宋体" w:cs="宋体" w:hint="eastAsia"/>
                <w:color w:val="000000"/>
                <w:kern w:val="0"/>
                <w:sz w:val="16"/>
                <w:szCs w:val="16"/>
                <w:lang/>
              </w:rPr>
              <w:t>2022</w:t>
            </w:r>
            <w:r>
              <w:rPr>
                <w:rFonts w:ascii="宋体" w:hAnsi="宋体" w:cs="宋体" w:hint="eastAsia"/>
                <w:color w:val="000000"/>
                <w:kern w:val="0"/>
                <w:sz w:val="16"/>
                <w:szCs w:val="16"/>
                <w:lang/>
              </w:rPr>
              <w:t>年</w:t>
            </w:r>
            <w:r>
              <w:rPr>
                <w:rFonts w:ascii="宋体" w:hAnsi="宋体" w:cs="宋体" w:hint="eastAsia"/>
                <w:color w:val="000000"/>
                <w:kern w:val="0"/>
                <w:sz w:val="16"/>
                <w:szCs w:val="16"/>
                <w:lang/>
              </w:rPr>
              <w:t>12</w:t>
            </w:r>
            <w:r>
              <w:rPr>
                <w:rFonts w:ascii="宋体" w:hAnsi="宋体" w:cs="宋体" w:hint="eastAsia"/>
                <w:color w:val="000000"/>
                <w:kern w:val="0"/>
                <w:sz w:val="16"/>
                <w:szCs w:val="16"/>
                <w:lang/>
              </w:rPr>
              <w:t>月</w:t>
            </w:r>
            <w:r>
              <w:rPr>
                <w:rFonts w:ascii="宋体" w:hAnsi="宋体" w:cs="宋体" w:hint="eastAsia"/>
                <w:color w:val="000000"/>
                <w:kern w:val="0"/>
                <w:sz w:val="16"/>
                <w:szCs w:val="16"/>
                <w:lang/>
              </w:rPr>
              <w:t>31</w:t>
            </w:r>
            <w:r>
              <w:rPr>
                <w:rFonts w:ascii="宋体" w:hAnsi="宋体" w:cs="宋体" w:hint="eastAsia"/>
                <w:color w:val="000000"/>
                <w:kern w:val="0"/>
                <w:sz w:val="16"/>
                <w:szCs w:val="16"/>
                <w:lang/>
              </w:rPr>
              <w:t>日完成</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效益指标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社会效益指标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增强科研创新力，可持续发展能力。</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定性</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优良中低差</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良</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294"/>
        </w:trPr>
        <w:tc>
          <w:tcPr>
            <w:tcW w:w="707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合计</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55</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评价结论</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自评总分</w:t>
            </w:r>
            <w:r>
              <w:rPr>
                <w:rFonts w:ascii="宋体" w:hAnsi="宋体" w:cs="宋体" w:hint="eastAsia"/>
                <w:i/>
                <w:iCs/>
                <w:color w:val="000000"/>
                <w:kern w:val="0"/>
                <w:sz w:val="16"/>
                <w:szCs w:val="16"/>
                <w:lang/>
              </w:rPr>
              <w:t>55</w:t>
            </w:r>
            <w:r>
              <w:rPr>
                <w:rFonts w:ascii="宋体" w:hAnsi="宋体" w:cs="宋体" w:hint="eastAsia"/>
                <w:i/>
                <w:iCs/>
                <w:color w:val="000000"/>
                <w:kern w:val="0"/>
                <w:sz w:val="16"/>
                <w:szCs w:val="16"/>
                <w:lang/>
              </w:rPr>
              <w:t>分，实际已引进博士科研助理</w:t>
            </w:r>
            <w:r>
              <w:rPr>
                <w:rFonts w:ascii="宋体" w:hAnsi="宋体" w:cs="宋体" w:hint="eastAsia"/>
                <w:i/>
                <w:iCs/>
                <w:color w:val="000000"/>
                <w:kern w:val="0"/>
                <w:sz w:val="16"/>
                <w:szCs w:val="16"/>
                <w:lang/>
              </w:rPr>
              <w:t>1</w:t>
            </w:r>
            <w:r>
              <w:rPr>
                <w:rFonts w:ascii="宋体" w:hAnsi="宋体" w:cs="宋体" w:hint="eastAsia"/>
                <w:i/>
                <w:iCs/>
                <w:color w:val="000000"/>
                <w:kern w:val="0"/>
                <w:sz w:val="16"/>
                <w:szCs w:val="16"/>
                <w:lang/>
              </w:rPr>
              <w:t>名，科研项目的复杂性和不确定性，暂未完成论文和成果专利。</w:t>
            </w: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存在问题</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科研周期较长，科研项目的复杂性和不确定性，暂未完成论文和成果专利。</w:t>
            </w: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改进措施</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科研周期较长，需加快科研进度。</w:t>
            </w:r>
          </w:p>
        </w:tc>
      </w:tr>
      <w:tr w:rsidR="00D56551">
        <w:trPr>
          <w:trHeight w:val="294"/>
        </w:trPr>
        <w:tc>
          <w:tcPr>
            <w:tcW w:w="482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项目负责人：蒙治君</w:t>
            </w:r>
          </w:p>
        </w:tc>
        <w:tc>
          <w:tcPr>
            <w:tcW w:w="479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财务负责人：李小华</w:t>
            </w:r>
          </w:p>
        </w:tc>
      </w:tr>
      <w:tr w:rsidR="00D56551">
        <w:trPr>
          <w:trHeight w:val="294"/>
        </w:trPr>
        <w:tc>
          <w:tcPr>
            <w:tcW w:w="640"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18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074"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502"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22"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7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01"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7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5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56" w:type="dxa"/>
            <w:tcBorders>
              <w:top w:val="nil"/>
              <w:left w:val="nil"/>
              <w:bottom w:val="nil"/>
              <w:right w:val="nil"/>
            </w:tcBorders>
            <w:shd w:val="clear" w:color="auto" w:fill="auto"/>
            <w:vAlign w:val="center"/>
          </w:tcPr>
          <w:p w:rsidR="00D56551" w:rsidRDefault="00D56551">
            <w:pPr>
              <w:jc w:val="center"/>
              <w:rPr>
                <w:rFonts w:ascii="宋体" w:hAnsi="宋体" w:cs="宋体"/>
                <w:color w:val="000000"/>
                <w:sz w:val="16"/>
                <w:szCs w:val="16"/>
              </w:rPr>
            </w:pPr>
          </w:p>
        </w:tc>
        <w:tc>
          <w:tcPr>
            <w:tcW w:w="1631"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r>
      <w:tr w:rsidR="00D56551">
        <w:trPr>
          <w:trHeight w:val="754"/>
        </w:trPr>
        <w:tc>
          <w:tcPr>
            <w:tcW w:w="962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rPr>
              <w:t>部门预算项目支出绩效自评表（</w:t>
            </w:r>
            <w:r>
              <w:rPr>
                <w:rFonts w:ascii="宋体" w:hAnsi="宋体" w:cs="宋体" w:hint="eastAsia"/>
                <w:b/>
                <w:bCs/>
                <w:color w:val="000000"/>
                <w:kern w:val="0"/>
                <w:sz w:val="16"/>
                <w:szCs w:val="16"/>
                <w:lang/>
              </w:rPr>
              <w:t>2022</w:t>
            </w:r>
            <w:r>
              <w:rPr>
                <w:rFonts w:ascii="宋体" w:hAnsi="宋体" w:cs="宋体" w:hint="eastAsia"/>
                <w:b/>
                <w:bCs/>
                <w:color w:val="000000"/>
                <w:kern w:val="0"/>
                <w:sz w:val="16"/>
                <w:szCs w:val="16"/>
                <w:lang/>
              </w:rPr>
              <w:t>年度）</w:t>
            </w:r>
          </w:p>
        </w:tc>
      </w:tr>
      <w:tr w:rsidR="00D56551">
        <w:trPr>
          <w:trHeight w:val="294"/>
        </w:trPr>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项目名称</w:t>
            </w:r>
          </w:p>
        </w:tc>
        <w:tc>
          <w:tcPr>
            <w:tcW w:w="779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51000022T000004885410-</w:t>
            </w:r>
            <w:r>
              <w:rPr>
                <w:rFonts w:ascii="宋体" w:hAnsi="宋体" w:cs="宋体" w:hint="eastAsia"/>
                <w:color w:val="000000"/>
                <w:kern w:val="0"/>
                <w:sz w:val="16"/>
                <w:szCs w:val="16"/>
                <w:lang/>
              </w:rPr>
              <w:t>学生资助专项资金</w:t>
            </w:r>
          </w:p>
        </w:tc>
      </w:tr>
      <w:tr w:rsidR="00D56551">
        <w:trPr>
          <w:trHeight w:val="863"/>
        </w:trPr>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主管部门</w:t>
            </w: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四川省教育厅部门</w:t>
            </w:r>
          </w:p>
        </w:tc>
        <w:tc>
          <w:tcPr>
            <w:tcW w:w="776" w:type="dxa"/>
            <w:tcBorders>
              <w:top w:val="nil"/>
              <w:left w:val="nil"/>
              <w:bottom w:val="nil"/>
              <w:right w:val="nil"/>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实施单位</w:t>
            </w:r>
            <w:r>
              <w:rPr>
                <w:rFonts w:ascii="宋体" w:hAnsi="宋体" w:cs="宋体" w:hint="eastAsia"/>
                <w:color w:val="000000"/>
                <w:kern w:val="0"/>
                <w:sz w:val="16"/>
                <w:szCs w:val="16"/>
                <w:lang/>
              </w:rPr>
              <w:t xml:space="preserve"> </w:t>
            </w:r>
            <w:r>
              <w:rPr>
                <w:rFonts w:ascii="宋体" w:hAnsi="宋体" w:cs="宋体" w:hint="eastAsia"/>
                <w:color w:val="000000"/>
                <w:kern w:val="0"/>
                <w:sz w:val="16"/>
                <w:szCs w:val="16"/>
                <w:lang/>
              </w:rPr>
              <w:t>（盖章）</w:t>
            </w:r>
          </w:p>
        </w:tc>
        <w:tc>
          <w:tcPr>
            <w:tcW w:w="25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川北医学院</w:t>
            </w:r>
          </w:p>
        </w:tc>
      </w:tr>
      <w:tr w:rsidR="00D56551">
        <w:trPr>
          <w:trHeight w:val="294"/>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项目基本情况</w:t>
            </w: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1.</w:t>
            </w:r>
            <w:r>
              <w:rPr>
                <w:rFonts w:ascii="宋体" w:hAnsi="宋体" w:cs="宋体" w:hint="eastAsia"/>
                <w:color w:val="000000"/>
                <w:kern w:val="0"/>
                <w:sz w:val="16"/>
                <w:szCs w:val="16"/>
                <w:lang/>
              </w:rPr>
              <w:t>项目年度目标完成情况</w:t>
            </w: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项目年度目标</w:t>
            </w:r>
          </w:p>
        </w:tc>
        <w:tc>
          <w:tcPr>
            <w:tcW w:w="33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年度目标完成情况</w:t>
            </w:r>
          </w:p>
        </w:tc>
      </w:tr>
      <w:tr w:rsidR="00D56551">
        <w:trPr>
          <w:trHeight w:val="597"/>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保障本校学生国家奖助学金、服务义务兵役教育资助的足额、准确、及时发放。</w:t>
            </w:r>
          </w:p>
        </w:tc>
        <w:tc>
          <w:tcPr>
            <w:tcW w:w="33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基本完成。</w:t>
            </w:r>
          </w:p>
        </w:tc>
      </w:tr>
      <w:tr w:rsidR="00D56551">
        <w:trPr>
          <w:trHeight w:val="585"/>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2.</w:t>
            </w:r>
            <w:r>
              <w:rPr>
                <w:rFonts w:ascii="宋体" w:hAnsi="宋体" w:cs="宋体" w:hint="eastAsia"/>
                <w:color w:val="000000"/>
                <w:kern w:val="0"/>
                <w:sz w:val="16"/>
                <w:szCs w:val="16"/>
                <w:lang/>
              </w:rPr>
              <w:t>项目实施内容及过程概述</w:t>
            </w:r>
          </w:p>
        </w:tc>
        <w:tc>
          <w:tcPr>
            <w:tcW w:w="779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根据《学生资助资金管理办法》和《四川省关于做好</w:t>
            </w:r>
            <w:r>
              <w:rPr>
                <w:rFonts w:ascii="宋体" w:hAnsi="宋体" w:cs="宋体" w:hint="eastAsia"/>
                <w:color w:val="000000"/>
                <w:kern w:val="0"/>
                <w:sz w:val="16"/>
                <w:szCs w:val="16"/>
                <w:lang/>
              </w:rPr>
              <w:t>2022</w:t>
            </w:r>
            <w:r>
              <w:rPr>
                <w:rFonts w:ascii="宋体" w:hAnsi="宋体" w:cs="宋体" w:hint="eastAsia"/>
                <w:color w:val="000000"/>
                <w:kern w:val="0"/>
                <w:sz w:val="16"/>
                <w:szCs w:val="16"/>
                <w:lang/>
              </w:rPr>
              <w:t>年高校国家奖助学金评审工作的通知》等文件，确保国家奖助金、服务义务兵役，按绩效目标足额发放、准确发放、按时发放。</w:t>
            </w:r>
          </w:p>
        </w:tc>
      </w:tr>
      <w:tr w:rsidR="00D56551">
        <w:trPr>
          <w:trHeight w:val="578"/>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lastRenderedPageBreak/>
              <w:t>预算执行情况（</w:t>
            </w:r>
            <w:r>
              <w:rPr>
                <w:rFonts w:ascii="宋体" w:hAnsi="宋体" w:cs="宋体" w:hint="eastAsia"/>
                <w:color w:val="000000"/>
                <w:kern w:val="0"/>
                <w:sz w:val="16"/>
                <w:szCs w:val="16"/>
                <w:lang/>
              </w:rPr>
              <w:t>10</w:t>
            </w:r>
            <w:r>
              <w:rPr>
                <w:rFonts w:ascii="宋体" w:hAnsi="宋体" w:cs="宋体" w:hint="eastAsia"/>
                <w:color w:val="000000"/>
                <w:kern w:val="0"/>
                <w:sz w:val="16"/>
                <w:szCs w:val="16"/>
                <w:lang/>
              </w:rPr>
              <w:t>分）</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年度预算数（万元）</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年初预算</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调整后预算数</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预算执行数</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预算执行率</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得分</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原因</w:t>
            </w:r>
          </w:p>
        </w:tc>
      </w:tr>
      <w:tr w:rsidR="00D56551">
        <w:trPr>
          <w:trHeight w:val="339"/>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总额</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191.53</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113.53</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59.28%</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6</w:t>
            </w:r>
          </w:p>
        </w:tc>
        <w:tc>
          <w:tcPr>
            <w:tcW w:w="16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因疫情，留学生未回学校，部分留学生未办理银行卡，所以部分省级留学生奖学金未能发放。</w:t>
            </w:r>
          </w:p>
        </w:tc>
      </w:tr>
      <w:tr w:rsidR="00D56551">
        <w:trPr>
          <w:trHeight w:val="374"/>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其中：财政资金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191.53</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113.53</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59.28%</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财政专户管理资金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50"/>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单位资金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32"/>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其他资金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1147"/>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绩效指标（</w:t>
            </w:r>
            <w:r>
              <w:rPr>
                <w:rFonts w:ascii="宋体" w:hAnsi="宋体" w:cs="宋体" w:hint="eastAsia"/>
                <w:color w:val="000000"/>
                <w:kern w:val="0"/>
                <w:sz w:val="16"/>
                <w:szCs w:val="16"/>
                <w:lang/>
              </w:rPr>
              <w:t>90</w:t>
            </w:r>
            <w:r>
              <w:rPr>
                <w:rFonts w:ascii="宋体" w:hAnsi="宋体" w:cs="宋体" w:hint="eastAsia"/>
                <w:color w:val="000000"/>
                <w:kern w:val="0"/>
                <w:sz w:val="16"/>
                <w:szCs w:val="16"/>
                <w:lang/>
              </w:rPr>
              <w:t>分）</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一级指标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二级指标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三级指标</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指标性质</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指标值</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度量单位</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完成值</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得分</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未完成原因分析</w:t>
            </w:r>
          </w:p>
        </w:tc>
      </w:tr>
      <w:tr w:rsidR="00D56551">
        <w:trPr>
          <w:trHeight w:val="1431"/>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产出指标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数量指标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国家奖助金、服务义务兵役的足额发放</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191.53</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万元</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113.53</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18</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因疫情，留学生未回学校，部分留学生未办理银行卡，所以部分省级留学生奖学金未能发放。</w:t>
            </w: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质量指标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国家奖助金、服务义务兵役的准确发放</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191.53</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万元</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113.53</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时效指标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国家奖助金、服务义务兵役的按时发放</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191.53</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万元</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113.53</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效益指标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社会效益指标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提升本校社会影响力</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定性</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优良中低差</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万元</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良</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18</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r>
      <w:tr w:rsidR="00D56551">
        <w:trPr>
          <w:trHeight w:val="863"/>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可持续发展指标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让学生能够及时得到资助，保证学业的顺利完成。</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定性</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高中低</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万元</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高</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满意度指标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帮扶对象满意度指标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学生满意</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90</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r>
      <w:tr w:rsidR="00D56551">
        <w:trPr>
          <w:trHeight w:val="294"/>
        </w:trPr>
        <w:tc>
          <w:tcPr>
            <w:tcW w:w="707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合计</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82</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评价结论</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执行率较低。</w:t>
            </w: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存在问题</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项目执行率低。</w:t>
            </w: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改进措施</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加快预算执行进度。</w:t>
            </w:r>
          </w:p>
        </w:tc>
      </w:tr>
      <w:tr w:rsidR="00D56551">
        <w:trPr>
          <w:trHeight w:val="294"/>
        </w:trPr>
        <w:tc>
          <w:tcPr>
            <w:tcW w:w="482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项目负责人：王帅亭子</w:t>
            </w:r>
          </w:p>
        </w:tc>
        <w:tc>
          <w:tcPr>
            <w:tcW w:w="479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财务负责人：李小华</w:t>
            </w:r>
          </w:p>
        </w:tc>
      </w:tr>
      <w:tr w:rsidR="00D56551">
        <w:trPr>
          <w:trHeight w:val="294"/>
        </w:trPr>
        <w:tc>
          <w:tcPr>
            <w:tcW w:w="640"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18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074"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502"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22"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7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01"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7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5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56" w:type="dxa"/>
            <w:tcBorders>
              <w:top w:val="nil"/>
              <w:left w:val="nil"/>
              <w:bottom w:val="nil"/>
              <w:right w:val="nil"/>
            </w:tcBorders>
            <w:shd w:val="clear" w:color="auto" w:fill="auto"/>
            <w:vAlign w:val="center"/>
          </w:tcPr>
          <w:p w:rsidR="00D56551" w:rsidRDefault="00D56551">
            <w:pPr>
              <w:jc w:val="center"/>
              <w:rPr>
                <w:rFonts w:ascii="宋体" w:hAnsi="宋体" w:cs="宋体"/>
                <w:color w:val="000000"/>
                <w:sz w:val="16"/>
                <w:szCs w:val="16"/>
              </w:rPr>
            </w:pPr>
          </w:p>
        </w:tc>
        <w:tc>
          <w:tcPr>
            <w:tcW w:w="1631"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r>
      <w:tr w:rsidR="00D56551">
        <w:trPr>
          <w:trHeight w:val="754"/>
        </w:trPr>
        <w:tc>
          <w:tcPr>
            <w:tcW w:w="962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rPr>
              <w:t>部门预算项目支出绩效自评表（</w:t>
            </w:r>
            <w:r>
              <w:rPr>
                <w:rFonts w:ascii="宋体" w:hAnsi="宋体" w:cs="宋体" w:hint="eastAsia"/>
                <w:b/>
                <w:bCs/>
                <w:color w:val="000000"/>
                <w:kern w:val="0"/>
                <w:sz w:val="16"/>
                <w:szCs w:val="16"/>
                <w:lang/>
              </w:rPr>
              <w:t>2022</w:t>
            </w:r>
            <w:r>
              <w:rPr>
                <w:rFonts w:ascii="宋体" w:hAnsi="宋体" w:cs="宋体" w:hint="eastAsia"/>
                <w:b/>
                <w:bCs/>
                <w:color w:val="000000"/>
                <w:kern w:val="0"/>
                <w:sz w:val="16"/>
                <w:szCs w:val="16"/>
                <w:lang/>
              </w:rPr>
              <w:t>年度）</w:t>
            </w:r>
          </w:p>
        </w:tc>
      </w:tr>
      <w:tr w:rsidR="00D56551">
        <w:trPr>
          <w:trHeight w:val="294"/>
        </w:trPr>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项目名称</w:t>
            </w:r>
          </w:p>
        </w:tc>
        <w:tc>
          <w:tcPr>
            <w:tcW w:w="779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51000022T000004885412-</w:t>
            </w:r>
            <w:r>
              <w:rPr>
                <w:rFonts w:ascii="宋体" w:hAnsi="宋体" w:cs="宋体" w:hint="eastAsia"/>
                <w:color w:val="000000"/>
                <w:kern w:val="0"/>
                <w:sz w:val="16"/>
                <w:szCs w:val="16"/>
                <w:lang/>
              </w:rPr>
              <w:t>高校共建与发展专项资金</w:t>
            </w:r>
          </w:p>
        </w:tc>
      </w:tr>
      <w:tr w:rsidR="00D56551">
        <w:trPr>
          <w:trHeight w:val="863"/>
        </w:trPr>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lastRenderedPageBreak/>
              <w:t>主管部门</w:t>
            </w: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四川省教育厅部门</w:t>
            </w:r>
          </w:p>
        </w:tc>
        <w:tc>
          <w:tcPr>
            <w:tcW w:w="776" w:type="dxa"/>
            <w:tcBorders>
              <w:top w:val="nil"/>
              <w:left w:val="nil"/>
              <w:bottom w:val="nil"/>
              <w:right w:val="nil"/>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实施单位</w:t>
            </w:r>
            <w:r>
              <w:rPr>
                <w:rFonts w:ascii="宋体" w:hAnsi="宋体" w:cs="宋体" w:hint="eastAsia"/>
                <w:color w:val="000000"/>
                <w:kern w:val="0"/>
                <w:sz w:val="16"/>
                <w:szCs w:val="16"/>
                <w:lang/>
              </w:rPr>
              <w:t xml:space="preserve"> </w:t>
            </w:r>
            <w:r>
              <w:rPr>
                <w:rFonts w:ascii="宋体" w:hAnsi="宋体" w:cs="宋体" w:hint="eastAsia"/>
                <w:color w:val="000000"/>
                <w:kern w:val="0"/>
                <w:sz w:val="16"/>
                <w:szCs w:val="16"/>
                <w:lang/>
              </w:rPr>
              <w:t>（盖章）</w:t>
            </w:r>
          </w:p>
        </w:tc>
        <w:tc>
          <w:tcPr>
            <w:tcW w:w="25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川北医学院</w:t>
            </w:r>
          </w:p>
        </w:tc>
      </w:tr>
      <w:tr w:rsidR="00D56551">
        <w:trPr>
          <w:trHeight w:val="294"/>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项目基本情况</w:t>
            </w: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1.</w:t>
            </w:r>
            <w:r>
              <w:rPr>
                <w:rFonts w:ascii="宋体" w:hAnsi="宋体" w:cs="宋体" w:hint="eastAsia"/>
                <w:color w:val="000000"/>
                <w:kern w:val="0"/>
                <w:sz w:val="16"/>
                <w:szCs w:val="16"/>
                <w:lang/>
              </w:rPr>
              <w:t>项目年度目标完成情况</w:t>
            </w: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项目年度目标</w:t>
            </w:r>
          </w:p>
        </w:tc>
        <w:tc>
          <w:tcPr>
            <w:tcW w:w="33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年度目标完成情况</w:t>
            </w:r>
          </w:p>
        </w:tc>
      </w:tr>
      <w:tr w:rsidR="00D56551">
        <w:trPr>
          <w:trHeight w:val="863"/>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保基本运转，足额保障教职工的个人支出和学校运转所需经费，确保学校持续健康平稳运行；积极推进高校人才队伍建设，强化青年人才培养。</w:t>
            </w:r>
          </w:p>
        </w:tc>
        <w:tc>
          <w:tcPr>
            <w:tcW w:w="33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保基本运转，足额保障教职工的个人支出和学校运转所需经费，确保学校持续健康平稳运行；积极推进高校人才队伍建设，强化青年人才培养。</w:t>
            </w:r>
          </w:p>
        </w:tc>
      </w:tr>
      <w:tr w:rsidR="00D56551">
        <w:trPr>
          <w:trHeight w:val="585"/>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2.</w:t>
            </w:r>
            <w:r>
              <w:rPr>
                <w:rFonts w:ascii="宋体" w:hAnsi="宋体" w:cs="宋体" w:hint="eastAsia"/>
                <w:color w:val="000000"/>
                <w:kern w:val="0"/>
                <w:sz w:val="16"/>
                <w:szCs w:val="16"/>
                <w:lang/>
              </w:rPr>
              <w:t>项目实施内容及过程概述</w:t>
            </w:r>
          </w:p>
        </w:tc>
        <w:tc>
          <w:tcPr>
            <w:tcW w:w="779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保基本运转，按时、足额、发放保教职工的个人支出，保障了学校运转所需经费，确保学校持续健康平稳运行；积极推进高校人才队伍建设，强化青年人才培养。</w:t>
            </w:r>
          </w:p>
        </w:tc>
      </w:tr>
      <w:tr w:rsidR="00D56551">
        <w:trPr>
          <w:trHeight w:val="578"/>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预算执行情况（</w:t>
            </w:r>
            <w:r>
              <w:rPr>
                <w:rFonts w:ascii="宋体" w:hAnsi="宋体" w:cs="宋体" w:hint="eastAsia"/>
                <w:color w:val="000000"/>
                <w:kern w:val="0"/>
                <w:sz w:val="16"/>
                <w:szCs w:val="16"/>
                <w:lang/>
              </w:rPr>
              <w:t>10</w:t>
            </w:r>
            <w:r>
              <w:rPr>
                <w:rFonts w:ascii="宋体" w:hAnsi="宋体" w:cs="宋体" w:hint="eastAsia"/>
                <w:color w:val="000000"/>
                <w:kern w:val="0"/>
                <w:sz w:val="16"/>
                <w:szCs w:val="16"/>
                <w:lang/>
              </w:rPr>
              <w:t>分）</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年度预算数（万元）</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年初预算</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调整后预算数</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预算执行数</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预算执行率</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得分</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原因</w:t>
            </w:r>
          </w:p>
        </w:tc>
      </w:tr>
      <w:tr w:rsidR="00D56551">
        <w:trPr>
          <w:trHeight w:val="339"/>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总额</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3,982.06</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3,982.06</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16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74"/>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其中：财政资金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3,982.06</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3,982.06</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财政专户管理资金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50"/>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单位资金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32"/>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其他资金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1147"/>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绩效指标（</w:t>
            </w:r>
            <w:r>
              <w:rPr>
                <w:rFonts w:ascii="宋体" w:hAnsi="宋体" w:cs="宋体" w:hint="eastAsia"/>
                <w:color w:val="000000"/>
                <w:kern w:val="0"/>
                <w:sz w:val="16"/>
                <w:szCs w:val="16"/>
                <w:lang/>
              </w:rPr>
              <w:t>90</w:t>
            </w:r>
            <w:r>
              <w:rPr>
                <w:rFonts w:ascii="宋体" w:hAnsi="宋体" w:cs="宋体" w:hint="eastAsia"/>
                <w:color w:val="000000"/>
                <w:kern w:val="0"/>
                <w:sz w:val="16"/>
                <w:szCs w:val="16"/>
                <w:lang/>
              </w:rPr>
              <w:t>分）</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一级指标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二级指标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三级指标</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指标性质</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指标值</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度量单位</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完成值</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得分</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未完成原因分析</w:t>
            </w: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产出指标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数量指标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完成</w:t>
            </w:r>
            <w:r>
              <w:rPr>
                <w:rFonts w:ascii="宋体" w:hAnsi="宋体" w:cs="宋体" w:hint="eastAsia"/>
                <w:color w:val="000000"/>
                <w:kern w:val="0"/>
                <w:sz w:val="16"/>
                <w:szCs w:val="16"/>
                <w:lang/>
              </w:rPr>
              <w:t>3982.06</w:t>
            </w:r>
            <w:r>
              <w:rPr>
                <w:rFonts w:ascii="宋体" w:hAnsi="宋体" w:cs="宋体" w:hint="eastAsia"/>
                <w:color w:val="000000"/>
                <w:kern w:val="0"/>
                <w:sz w:val="16"/>
                <w:szCs w:val="16"/>
                <w:lang/>
              </w:rPr>
              <w:t>万元支付</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3982.06</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万元</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3982.06</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时效指标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2022</w:t>
            </w:r>
            <w:r>
              <w:rPr>
                <w:rFonts w:ascii="宋体" w:hAnsi="宋体" w:cs="宋体" w:hint="eastAsia"/>
                <w:color w:val="000000"/>
                <w:kern w:val="0"/>
                <w:sz w:val="16"/>
                <w:szCs w:val="16"/>
                <w:lang/>
              </w:rPr>
              <w:t>年</w:t>
            </w:r>
            <w:r>
              <w:rPr>
                <w:rFonts w:ascii="宋体" w:hAnsi="宋体" w:cs="宋体" w:hint="eastAsia"/>
                <w:color w:val="000000"/>
                <w:kern w:val="0"/>
                <w:sz w:val="16"/>
                <w:szCs w:val="16"/>
                <w:lang/>
              </w:rPr>
              <w:t>12</w:t>
            </w:r>
            <w:r>
              <w:rPr>
                <w:rFonts w:ascii="宋体" w:hAnsi="宋体" w:cs="宋体" w:hint="eastAsia"/>
                <w:color w:val="000000"/>
                <w:kern w:val="0"/>
                <w:sz w:val="16"/>
                <w:szCs w:val="16"/>
                <w:lang/>
              </w:rPr>
              <w:t>月</w:t>
            </w:r>
            <w:r>
              <w:rPr>
                <w:rFonts w:ascii="宋体" w:hAnsi="宋体" w:cs="宋体" w:hint="eastAsia"/>
                <w:color w:val="000000"/>
                <w:kern w:val="0"/>
                <w:sz w:val="16"/>
                <w:szCs w:val="16"/>
                <w:lang/>
              </w:rPr>
              <w:t>31</w:t>
            </w:r>
            <w:r>
              <w:rPr>
                <w:rFonts w:ascii="宋体" w:hAnsi="宋体" w:cs="宋体" w:hint="eastAsia"/>
                <w:color w:val="000000"/>
                <w:kern w:val="0"/>
                <w:sz w:val="16"/>
                <w:szCs w:val="16"/>
                <w:lang/>
              </w:rPr>
              <w:t>日之前</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1</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863"/>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效益指标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可持续发展指标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 xml:space="preserve"> </w:t>
            </w:r>
            <w:r>
              <w:rPr>
                <w:rFonts w:ascii="宋体" w:hAnsi="宋体" w:cs="宋体" w:hint="eastAsia"/>
                <w:color w:val="000000"/>
                <w:kern w:val="0"/>
                <w:sz w:val="16"/>
                <w:szCs w:val="16"/>
                <w:lang/>
              </w:rPr>
              <w:t>助力学校稳定发展，持续向社会输送人才。</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定性</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优良中低差</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项</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优</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满意度指标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服务对象满意度指标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学生满意度</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90</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294"/>
        </w:trPr>
        <w:tc>
          <w:tcPr>
            <w:tcW w:w="707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合计</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评价结论</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自评总分</w:t>
            </w:r>
            <w:r>
              <w:rPr>
                <w:rFonts w:ascii="宋体" w:hAnsi="宋体" w:cs="宋体" w:hint="eastAsia"/>
                <w:i/>
                <w:iCs/>
                <w:color w:val="000000"/>
                <w:kern w:val="0"/>
                <w:sz w:val="16"/>
                <w:szCs w:val="16"/>
                <w:lang/>
              </w:rPr>
              <w:t>100</w:t>
            </w:r>
            <w:r>
              <w:rPr>
                <w:rFonts w:ascii="宋体" w:hAnsi="宋体" w:cs="宋体" w:hint="eastAsia"/>
                <w:i/>
                <w:iCs/>
                <w:color w:val="000000"/>
                <w:kern w:val="0"/>
                <w:sz w:val="16"/>
                <w:szCs w:val="16"/>
                <w:lang/>
              </w:rPr>
              <w:t>分，该资金保基本运转，按时、足额、发放保教职工的个人支出，保障了学校运转所需经费，确保学校持续健康平稳运行；同时积极推进高校人才队伍建设，强化青年人才培养。</w:t>
            </w: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存在问题</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无</w:t>
            </w: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改进措施</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无</w:t>
            </w:r>
          </w:p>
        </w:tc>
      </w:tr>
      <w:tr w:rsidR="00D56551">
        <w:trPr>
          <w:trHeight w:val="294"/>
        </w:trPr>
        <w:tc>
          <w:tcPr>
            <w:tcW w:w="482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项目负责人：李小华</w:t>
            </w:r>
          </w:p>
        </w:tc>
        <w:tc>
          <w:tcPr>
            <w:tcW w:w="479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财务负责人：李小华</w:t>
            </w:r>
          </w:p>
        </w:tc>
      </w:tr>
      <w:tr w:rsidR="00D56551">
        <w:trPr>
          <w:trHeight w:val="294"/>
        </w:trPr>
        <w:tc>
          <w:tcPr>
            <w:tcW w:w="640"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18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074"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502"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22"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7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01"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7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5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56" w:type="dxa"/>
            <w:tcBorders>
              <w:top w:val="nil"/>
              <w:left w:val="nil"/>
              <w:bottom w:val="nil"/>
              <w:right w:val="nil"/>
            </w:tcBorders>
            <w:shd w:val="clear" w:color="auto" w:fill="auto"/>
            <w:vAlign w:val="center"/>
          </w:tcPr>
          <w:p w:rsidR="00D56551" w:rsidRDefault="00D56551">
            <w:pPr>
              <w:jc w:val="center"/>
              <w:rPr>
                <w:rFonts w:ascii="宋体" w:hAnsi="宋体" w:cs="宋体"/>
                <w:color w:val="000000"/>
                <w:sz w:val="16"/>
                <w:szCs w:val="16"/>
              </w:rPr>
            </w:pPr>
          </w:p>
        </w:tc>
        <w:tc>
          <w:tcPr>
            <w:tcW w:w="1631"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r>
      <w:tr w:rsidR="00D56551">
        <w:trPr>
          <w:trHeight w:val="754"/>
        </w:trPr>
        <w:tc>
          <w:tcPr>
            <w:tcW w:w="962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rPr>
              <w:t>部门预算项目支出绩效自评表（</w:t>
            </w:r>
            <w:r>
              <w:rPr>
                <w:rFonts w:ascii="宋体" w:hAnsi="宋体" w:cs="宋体" w:hint="eastAsia"/>
                <w:b/>
                <w:bCs/>
                <w:color w:val="000000"/>
                <w:kern w:val="0"/>
                <w:sz w:val="16"/>
                <w:szCs w:val="16"/>
                <w:lang/>
              </w:rPr>
              <w:t>2022</w:t>
            </w:r>
            <w:r>
              <w:rPr>
                <w:rFonts w:ascii="宋体" w:hAnsi="宋体" w:cs="宋体" w:hint="eastAsia"/>
                <w:b/>
                <w:bCs/>
                <w:color w:val="000000"/>
                <w:kern w:val="0"/>
                <w:sz w:val="16"/>
                <w:szCs w:val="16"/>
                <w:lang/>
              </w:rPr>
              <w:t>年度）</w:t>
            </w:r>
          </w:p>
        </w:tc>
      </w:tr>
      <w:tr w:rsidR="00D56551">
        <w:trPr>
          <w:trHeight w:val="294"/>
        </w:trPr>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lastRenderedPageBreak/>
              <w:t>项目名称</w:t>
            </w:r>
          </w:p>
        </w:tc>
        <w:tc>
          <w:tcPr>
            <w:tcW w:w="779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51000022T000004900135-</w:t>
            </w:r>
            <w:r>
              <w:rPr>
                <w:rFonts w:ascii="宋体" w:hAnsi="宋体" w:cs="宋体" w:hint="eastAsia"/>
                <w:color w:val="000000"/>
                <w:kern w:val="0"/>
                <w:sz w:val="16"/>
                <w:szCs w:val="16"/>
                <w:lang/>
              </w:rPr>
              <w:t>四川省科技计划项目专项资金</w:t>
            </w:r>
          </w:p>
        </w:tc>
      </w:tr>
      <w:tr w:rsidR="00D56551">
        <w:trPr>
          <w:trHeight w:val="863"/>
        </w:trPr>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主管部门</w:t>
            </w: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四川省教育厅部门</w:t>
            </w:r>
          </w:p>
        </w:tc>
        <w:tc>
          <w:tcPr>
            <w:tcW w:w="776" w:type="dxa"/>
            <w:tcBorders>
              <w:top w:val="nil"/>
              <w:left w:val="nil"/>
              <w:bottom w:val="nil"/>
              <w:right w:val="nil"/>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实施单位</w:t>
            </w:r>
            <w:r>
              <w:rPr>
                <w:rFonts w:ascii="宋体" w:hAnsi="宋体" w:cs="宋体" w:hint="eastAsia"/>
                <w:color w:val="000000"/>
                <w:kern w:val="0"/>
                <w:sz w:val="16"/>
                <w:szCs w:val="16"/>
                <w:lang/>
              </w:rPr>
              <w:t xml:space="preserve"> </w:t>
            </w:r>
            <w:r>
              <w:rPr>
                <w:rFonts w:ascii="宋体" w:hAnsi="宋体" w:cs="宋体" w:hint="eastAsia"/>
                <w:color w:val="000000"/>
                <w:kern w:val="0"/>
                <w:sz w:val="16"/>
                <w:szCs w:val="16"/>
                <w:lang/>
              </w:rPr>
              <w:t>（盖章）</w:t>
            </w:r>
          </w:p>
        </w:tc>
        <w:tc>
          <w:tcPr>
            <w:tcW w:w="25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川北医学院</w:t>
            </w:r>
          </w:p>
        </w:tc>
      </w:tr>
      <w:tr w:rsidR="00D56551">
        <w:trPr>
          <w:trHeight w:val="294"/>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项目基本情况</w:t>
            </w: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1.</w:t>
            </w:r>
            <w:r>
              <w:rPr>
                <w:rFonts w:ascii="宋体" w:hAnsi="宋体" w:cs="宋体" w:hint="eastAsia"/>
                <w:color w:val="000000"/>
                <w:kern w:val="0"/>
                <w:sz w:val="16"/>
                <w:szCs w:val="16"/>
                <w:lang/>
              </w:rPr>
              <w:t>项目年度目标完成情况</w:t>
            </w: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项目年度目标</w:t>
            </w:r>
          </w:p>
        </w:tc>
        <w:tc>
          <w:tcPr>
            <w:tcW w:w="33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年度目标完成情况</w:t>
            </w:r>
          </w:p>
        </w:tc>
      </w:tr>
      <w:tr w:rsidR="00D56551">
        <w:trPr>
          <w:trHeight w:val="597"/>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按时完成预定论文产出、按预定标准和时间完成项目，按预定成本完成，无资金浪费，同时产生一定社会效益和经济效益。</w:t>
            </w:r>
          </w:p>
        </w:tc>
        <w:tc>
          <w:tcPr>
            <w:tcW w:w="33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基本完成目标，产生了一定的社会效益和经济效益。</w:t>
            </w:r>
          </w:p>
        </w:tc>
      </w:tr>
      <w:tr w:rsidR="00D56551">
        <w:trPr>
          <w:trHeight w:val="585"/>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2.</w:t>
            </w:r>
            <w:r>
              <w:rPr>
                <w:rFonts w:ascii="宋体" w:hAnsi="宋体" w:cs="宋体" w:hint="eastAsia"/>
                <w:color w:val="000000"/>
                <w:kern w:val="0"/>
                <w:sz w:val="16"/>
                <w:szCs w:val="16"/>
                <w:lang/>
              </w:rPr>
              <w:t>项目实施内容及过程概述</w:t>
            </w:r>
          </w:p>
        </w:tc>
        <w:tc>
          <w:tcPr>
            <w:tcW w:w="779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按项目任务书年度计划执行。</w:t>
            </w:r>
          </w:p>
        </w:tc>
      </w:tr>
      <w:tr w:rsidR="00D56551">
        <w:trPr>
          <w:trHeight w:val="578"/>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预算执行情况（</w:t>
            </w:r>
            <w:r>
              <w:rPr>
                <w:rFonts w:ascii="宋体" w:hAnsi="宋体" w:cs="宋体" w:hint="eastAsia"/>
                <w:color w:val="000000"/>
                <w:kern w:val="0"/>
                <w:sz w:val="16"/>
                <w:szCs w:val="16"/>
                <w:lang/>
              </w:rPr>
              <w:t>10</w:t>
            </w:r>
            <w:r>
              <w:rPr>
                <w:rFonts w:ascii="宋体" w:hAnsi="宋体" w:cs="宋体" w:hint="eastAsia"/>
                <w:color w:val="000000"/>
                <w:kern w:val="0"/>
                <w:sz w:val="16"/>
                <w:szCs w:val="16"/>
                <w:lang/>
              </w:rPr>
              <w:t>分）</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年度预算数（万元）</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年初预算</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调整后预算数</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预算执行数</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预算执行率</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得分</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原因</w:t>
            </w:r>
          </w:p>
        </w:tc>
      </w:tr>
      <w:tr w:rsidR="00D56551">
        <w:trPr>
          <w:trHeight w:val="339"/>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总额</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325.00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43.89</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13.50%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w:t>
            </w:r>
          </w:p>
        </w:tc>
        <w:tc>
          <w:tcPr>
            <w:tcW w:w="16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科研项目周期较长，预算执行率较低。</w:t>
            </w:r>
          </w:p>
        </w:tc>
      </w:tr>
      <w:tr w:rsidR="00D56551">
        <w:trPr>
          <w:trHeight w:val="374"/>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其中：财政资金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325.00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43.89</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13.50%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财政专户管理资金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50"/>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单位资金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32"/>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其他资金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1147"/>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绩效指标（</w:t>
            </w:r>
            <w:r>
              <w:rPr>
                <w:rFonts w:ascii="宋体" w:hAnsi="宋体" w:cs="宋体" w:hint="eastAsia"/>
                <w:color w:val="000000"/>
                <w:kern w:val="0"/>
                <w:sz w:val="16"/>
                <w:szCs w:val="16"/>
                <w:lang/>
              </w:rPr>
              <w:t>90</w:t>
            </w:r>
            <w:r>
              <w:rPr>
                <w:rFonts w:ascii="宋体" w:hAnsi="宋体" w:cs="宋体" w:hint="eastAsia"/>
                <w:color w:val="000000"/>
                <w:kern w:val="0"/>
                <w:sz w:val="16"/>
                <w:szCs w:val="16"/>
                <w:lang/>
              </w:rPr>
              <w:t>分）</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一级指标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二级指标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三级指标</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指标性质</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指标值</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度量单位</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完成值</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得分</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未完成原因分析</w:t>
            </w:r>
          </w:p>
        </w:tc>
      </w:tr>
      <w:tr w:rsidR="00D56551">
        <w:trPr>
          <w:trHeight w:val="391"/>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产出指标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数量指标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产出数量</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篇（部）</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7</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50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50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效益指标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可持续发展指标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对公共卫生健康发展的可持续影响</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定性</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优良中低差</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良</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满意度指标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服务对象满意度指标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医学研究受众</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定性</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优良中低差</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优</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294"/>
        </w:trPr>
        <w:tc>
          <w:tcPr>
            <w:tcW w:w="707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合计</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91</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评价结论</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项目绩效指标完成姣好，基本达到年度目标，预算执行进度慢。</w:t>
            </w: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存在问题</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经费执行率偏低。</w:t>
            </w: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改进措施</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加快经费报销，提升预算执行进度。</w:t>
            </w:r>
          </w:p>
        </w:tc>
      </w:tr>
      <w:tr w:rsidR="00D56551">
        <w:trPr>
          <w:trHeight w:val="294"/>
        </w:trPr>
        <w:tc>
          <w:tcPr>
            <w:tcW w:w="482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项目负责人：刘云</w:t>
            </w:r>
          </w:p>
        </w:tc>
        <w:tc>
          <w:tcPr>
            <w:tcW w:w="479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财务负责人：李小华</w:t>
            </w:r>
          </w:p>
        </w:tc>
      </w:tr>
      <w:tr w:rsidR="00D56551">
        <w:trPr>
          <w:trHeight w:val="294"/>
        </w:trPr>
        <w:tc>
          <w:tcPr>
            <w:tcW w:w="640"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18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074"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502"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22"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7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01"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7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5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56" w:type="dxa"/>
            <w:tcBorders>
              <w:top w:val="nil"/>
              <w:left w:val="nil"/>
              <w:bottom w:val="nil"/>
              <w:right w:val="nil"/>
            </w:tcBorders>
            <w:shd w:val="clear" w:color="auto" w:fill="auto"/>
            <w:vAlign w:val="center"/>
          </w:tcPr>
          <w:p w:rsidR="00D56551" w:rsidRDefault="00D56551">
            <w:pPr>
              <w:jc w:val="center"/>
              <w:rPr>
                <w:rFonts w:ascii="宋体" w:hAnsi="宋体" w:cs="宋体"/>
                <w:color w:val="000000"/>
                <w:sz w:val="16"/>
                <w:szCs w:val="16"/>
              </w:rPr>
            </w:pPr>
          </w:p>
        </w:tc>
        <w:tc>
          <w:tcPr>
            <w:tcW w:w="1631"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r>
      <w:tr w:rsidR="00D56551">
        <w:trPr>
          <w:trHeight w:val="754"/>
        </w:trPr>
        <w:tc>
          <w:tcPr>
            <w:tcW w:w="962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rPr>
              <w:t>部门预算项目支出绩效自评表（</w:t>
            </w:r>
            <w:r>
              <w:rPr>
                <w:rFonts w:ascii="宋体" w:hAnsi="宋体" w:cs="宋体" w:hint="eastAsia"/>
                <w:b/>
                <w:bCs/>
                <w:color w:val="000000"/>
                <w:kern w:val="0"/>
                <w:sz w:val="16"/>
                <w:szCs w:val="16"/>
                <w:lang/>
              </w:rPr>
              <w:t>2022</w:t>
            </w:r>
            <w:r>
              <w:rPr>
                <w:rFonts w:ascii="宋体" w:hAnsi="宋体" w:cs="宋体" w:hint="eastAsia"/>
                <w:b/>
                <w:bCs/>
                <w:color w:val="000000"/>
                <w:kern w:val="0"/>
                <w:sz w:val="16"/>
                <w:szCs w:val="16"/>
                <w:lang/>
              </w:rPr>
              <w:t>年度）</w:t>
            </w:r>
          </w:p>
        </w:tc>
      </w:tr>
      <w:tr w:rsidR="00D56551">
        <w:trPr>
          <w:trHeight w:val="294"/>
        </w:trPr>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项目名称</w:t>
            </w:r>
          </w:p>
        </w:tc>
        <w:tc>
          <w:tcPr>
            <w:tcW w:w="779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51000022T000005033536-</w:t>
            </w:r>
            <w:r>
              <w:rPr>
                <w:rFonts w:ascii="宋体" w:hAnsi="宋体" w:cs="宋体" w:hint="eastAsia"/>
                <w:color w:val="000000"/>
                <w:kern w:val="0"/>
                <w:sz w:val="16"/>
                <w:szCs w:val="16"/>
                <w:lang/>
              </w:rPr>
              <w:t>省属单位中医药发展资金</w:t>
            </w:r>
          </w:p>
        </w:tc>
      </w:tr>
      <w:tr w:rsidR="00D56551">
        <w:trPr>
          <w:trHeight w:val="863"/>
        </w:trPr>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主管部门</w:t>
            </w: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四川省教育厅部门</w:t>
            </w:r>
          </w:p>
        </w:tc>
        <w:tc>
          <w:tcPr>
            <w:tcW w:w="776" w:type="dxa"/>
            <w:tcBorders>
              <w:top w:val="nil"/>
              <w:left w:val="nil"/>
              <w:bottom w:val="nil"/>
              <w:right w:val="nil"/>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实施单位</w:t>
            </w:r>
            <w:r>
              <w:rPr>
                <w:rFonts w:ascii="宋体" w:hAnsi="宋体" w:cs="宋体" w:hint="eastAsia"/>
                <w:color w:val="000000"/>
                <w:kern w:val="0"/>
                <w:sz w:val="16"/>
                <w:szCs w:val="16"/>
                <w:lang/>
              </w:rPr>
              <w:t xml:space="preserve"> </w:t>
            </w:r>
            <w:r>
              <w:rPr>
                <w:rFonts w:ascii="宋体" w:hAnsi="宋体" w:cs="宋体" w:hint="eastAsia"/>
                <w:color w:val="000000"/>
                <w:kern w:val="0"/>
                <w:sz w:val="16"/>
                <w:szCs w:val="16"/>
                <w:lang/>
              </w:rPr>
              <w:t>（盖章）</w:t>
            </w:r>
          </w:p>
        </w:tc>
        <w:tc>
          <w:tcPr>
            <w:tcW w:w="25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川北医学院</w:t>
            </w:r>
          </w:p>
        </w:tc>
      </w:tr>
      <w:tr w:rsidR="00D56551">
        <w:trPr>
          <w:trHeight w:val="294"/>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lastRenderedPageBreak/>
              <w:t>项目基本情况</w:t>
            </w: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1.</w:t>
            </w:r>
            <w:r>
              <w:rPr>
                <w:rFonts w:ascii="宋体" w:hAnsi="宋体" w:cs="宋体" w:hint="eastAsia"/>
                <w:color w:val="000000"/>
                <w:kern w:val="0"/>
                <w:sz w:val="16"/>
                <w:szCs w:val="16"/>
                <w:lang/>
              </w:rPr>
              <w:t>项目年度目标完成情况</w:t>
            </w: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项目年度目标</w:t>
            </w:r>
          </w:p>
        </w:tc>
        <w:tc>
          <w:tcPr>
            <w:tcW w:w="33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年度目标完成情况</w:t>
            </w:r>
          </w:p>
        </w:tc>
      </w:tr>
      <w:tr w:rsidR="00D56551">
        <w:trPr>
          <w:trHeight w:val="597"/>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1</w:t>
            </w:r>
            <w:r>
              <w:rPr>
                <w:rFonts w:ascii="宋体" w:hAnsi="宋体" w:cs="宋体" w:hint="eastAsia"/>
                <w:color w:val="000000"/>
                <w:kern w:val="0"/>
                <w:sz w:val="16"/>
                <w:szCs w:val="16"/>
                <w:lang/>
              </w:rPr>
              <w:t>、完成样品主要有效成分含量测定，指纹图谱及主要有效成分传递规律；</w:t>
            </w:r>
            <w:r>
              <w:rPr>
                <w:rFonts w:ascii="宋体" w:hAnsi="宋体" w:cs="宋体" w:hint="eastAsia"/>
                <w:color w:val="000000"/>
                <w:kern w:val="0"/>
                <w:sz w:val="16"/>
                <w:szCs w:val="16"/>
                <w:lang/>
              </w:rPr>
              <w:t>2</w:t>
            </w:r>
            <w:r>
              <w:rPr>
                <w:rFonts w:ascii="宋体" w:hAnsi="宋体" w:cs="宋体" w:hint="eastAsia"/>
                <w:color w:val="000000"/>
                <w:kern w:val="0"/>
                <w:sz w:val="16"/>
                <w:szCs w:val="16"/>
                <w:lang/>
              </w:rPr>
              <w:t>、醇沉环节关键工艺参数辨识，优化及验证。</w:t>
            </w:r>
          </w:p>
        </w:tc>
        <w:tc>
          <w:tcPr>
            <w:tcW w:w="33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基本完成目标，产生了较好的社会效益和经济效益。</w:t>
            </w:r>
          </w:p>
        </w:tc>
      </w:tr>
      <w:tr w:rsidR="00D56551">
        <w:trPr>
          <w:trHeight w:val="585"/>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2.</w:t>
            </w:r>
            <w:r>
              <w:rPr>
                <w:rFonts w:ascii="宋体" w:hAnsi="宋体" w:cs="宋体" w:hint="eastAsia"/>
                <w:color w:val="000000"/>
                <w:kern w:val="0"/>
                <w:sz w:val="16"/>
                <w:szCs w:val="16"/>
                <w:lang/>
              </w:rPr>
              <w:t>项目实施内容及过程概述</w:t>
            </w:r>
          </w:p>
        </w:tc>
        <w:tc>
          <w:tcPr>
            <w:tcW w:w="779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按项目任务书时间节点执行。</w:t>
            </w:r>
          </w:p>
        </w:tc>
      </w:tr>
      <w:tr w:rsidR="00D56551">
        <w:trPr>
          <w:trHeight w:val="578"/>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预算执行情况（</w:t>
            </w:r>
            <w:r>
              <w:rPr>
                <w:rFonts w:ascii="宋体" w:hAnsi="宋体" w:cs="宋体" w:hint="eastAsia"/>
                <w:color w:val="000000"/>
                <w:kern w:val="0"/>
                <w:sz w:val="16"/>
                <w:szCs w:val="16"/>
                <w:lang/>
              </w:rPr>
              <w:t>10</w:t>
            </w:r>
            <w:r>
              <w:rPr>
                <w:rFonts w:ascii="宋体" w:hAnsi="宋体" w:cs="宋体" w:hint="eastAsia"/>
                <w:color w:val="000000"/>
                <w:kern w:val="0"/>
                <w:sz w:val="16"/>
                <w:szCs w:val="16"/>
                <w:lang/>
              </w:rPr>
              <w:t>分）</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年度预算数（万元）</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年初预算</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调整后预算数</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预算执行数</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预算执行率</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得分</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原因</w:t>
            </w:r>
          </w:p>
        </w:tc>
      </w:tr>
      <w:tr w:rsidR="00D56551">
        <w:trPr>
          <w:trHeight w:val="339"/>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总额</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1.01</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1.01</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0.94</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93.84%</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9</w:t>
            </w:r>
          </w:p>
        </w:tc>
        <w:tc>
          <w:tcPr>
            <w:tcW w:w="16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74"/>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其中：财政资金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1.01</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1.01</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0.94</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93.84%</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财政专户管理资金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50"/>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单位资金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32"/>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其他资金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1147"/>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绩效指标（</w:t>
            </w:r>
            <w:r>
              <w:rPr>
                <w:rFonts w:ascii="宋体" w:hAnsi="宋体" w:cs="宋体" w:hint="eastAsia"/>
                <w:color w:val="000000"/>
                <w:kern w:val="0"/>
                <w:sz w:val="16"/>
                <w:szCs w:val="16"/>
                <w:lang/>
              </w:rPr>
              <w:t>90</w:t>
            </w:r>
            <w:r>
              <w:rPr>
                <w:rFonts w:ascii="宋体" w:hAnsi="宋体" w:cs="宋体" w:hint="eastAsia"/>
                <w:color w:val="000000"/>
                <w:kern w:val="0"/>
                <w:sz w:val="16"/>
                <w:szCs w:val="16"/>
                <w:lang/>
              </w:rPr>
              <w:t>分）</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一级指标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二级指标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三级指标</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指标性质</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指标值</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度量单位</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完成值</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得分</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未完成原因分析</w:t>
            </w: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产出指标</w:t>
            </w:r>
          </w:p>
        </w:tc>
        <w:tc>
          <w:tcPr>
            <w:tcW w:w="10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质量指标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主要有效成分含量测定</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定性</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优良中低差</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优</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按计划任务书内容进行</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定性</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优良中低差</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优</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指纹图谱</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定性</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优良中低差</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优</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醇沉环节关键工艺参数辨识，优化及验证</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定性</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优良中低差</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良</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时效指标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按计划任务书时间节点进行</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2023</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完成</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效益指标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社会效益指标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产生一定的社会效益</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定性</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高中低</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高</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294"/>
        </w:trPr>
        <w:tc>
          <w:tcPr>
            <w:tcW w:w="707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合计</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评价结论</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项目绩效指标完成姣好，基本达到年度目标。</w:t>
            </w: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存在问题</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无</w:t>
            </w: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改进措施</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无</w:t>
            </w:r>
          </w:p>
        </w:tc>
      </w:tr>
      <w:tr w:rsidR="00D56551">
        <w:trPr>
          <w:trHeight w:val="294"/>
        </w:trPr>
        <w:tc>
          <w:tcPr>
            <w:tcW w:w="482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项目负责人：</w:t>
            </w:r>
          </w:p>
        </w:tc>
        <w:tc>
          <w:tcPr>
            <w:tcW w:w="479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财务负责人：李小华</w:t>
            </w:r>
          </w:p>
        </w:tc>
      </w:tr>
      <w:tr w:rsidR="00D56551">
        <w:trPr>
          <w:trHeight w:val="294"/>
        </w:trPr>
        <w:tc>
          <w:tcPr>
            <w:tcW w:w="640"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18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074"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502"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22"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7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01"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7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5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56" w:type="dxa"/>
            <w:tcBorders>
              <w:top w:val="nil"/>
              <w:left w:val="nil"/>
              <w:bottom w:val="nil"/>
              <w:right w:val="nil"/>
            </w:tcBorders>
            <w:shd w:val="clear" w:color="auto" w:fill="auto"/>
            <w:vAlign w:val="center"/>
          </w:tcPr>
          <w:p w:rsidR="00D56551" w:rsidRDefault="00D56551">
            <w:pPr>
              <w:jc w:val="center"/>
              <w:rPr>
                <w:rFonts w:ascii="宋体" w:hAnsi="宋体" w:cs="宋体"/>
                <w:color w:val="000000"/>
                <w:sz w:val="16"/>
                <w:szCs w:val="16"/>
              </w:rPr>
            </w:pPr>
          </w:p>
        </w:tc>
        <w:tc>
          <w:tcPr>
            <w:tcW w:w="1631"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r>
      <w:tr w:rsidR="00D56551">
        <w:trPr>
          <w:trHeight w:val="754"/>
        </w:trPr>
        <w:tc>
          <w:tcPr>
            <w:tcW w:w="962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rPr>
              <w:t>部门预算项目支出绩效自评表（</w:t>
            </w:r>
            <w:r>
              <w:rPr>
                <w:rFonts w:ascii="宋体" w:hAnsi="宋体" w:cs="宋体" w:hint="eastAsia"/>
                <w:b/>
                <w:bCs/>
                <w:color w:val="000000"/>
                <w:kern w:val="0"/>
                <w:sz w:val="16"/>
                <w:szCs w:val="16"/>
                <w:lang/>
              </w:rPr>
              <w:t>2022</w:t>
            </w:r>
            <w:r>
              <w:rPr>
                <w:rFonts w:ascii="宋体" w:hAnsi="宋体" w:cs="宋体" w:hint="eastAsia"/>
                <w:b/>
                <w:bCs/>
                <w:color w:val="000000"/>
                <w:kern w:val="0"/>
                <w:sz w:val="16"/>
                <w:szCs w:val="16"/>
                <w:lang/>
              </w:rPr>
              <w:t>年度）</w:t>
            </w:r>
          </w:p>
        </w:tc>
      </w:tr>
      <w:tr w:rsidR="00D56551">
        <w:trPr>
          <w:trHeight w:val="294"/>
        </w:trPr>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项目名称</w:t>
            </w:r>
          </w:p>
        </w:tc>
        <w:tc>
          <w:tcPr>
            <w:tcW w:w="779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51000022T000005034080-</w:t>
            </w:r>
            <w:r>
              <w:rPr>
                <w:rFonts w:ascii="宋体" w:hAnsi="宋体" w:cs="宋体" w:hint="eastAsia"/>
                <w:color w:val="000000"/>
                <w:kern w:val="0"/>
                <w:sz w:val="16"/>
                <w:szCs w:val="16"/>
                <w:lang/>
              </w:rPr>
              <w:t>四川省科技计划项目专项资金</w:t>
            </w:r>
          </w:p>
        </w:tc>
      </w:tr>
      <w:tr w:rsidR="00D56551">
        <w:trPr>
          <w:trHeight w:val="863"/>
        </w:trPr>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lastRenderedPageBreak/>
              <w:t>主管部门</w:t>
            </w: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四川省教育厅部门</w:t>
            </w:r>
          </w:p>
        </w:tc>
        <w:tc>
          <w:tcPr>
            <w:tcW w:w="776" w:type="dxa"/>
            <w:tcBorders>
              <w:top w:val="nil"/>
              <w:left w:val="nil"/>
              <w:bottom w:val="nil"/>
              <w:right w:val="nil"/>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实施单位</w:t>
            </w:r>
            <w:r>
              <w:rPr>
                <w:rFonts w:ascii="宋体" w:hAnsi="宋体" w:cs="宋体" w:hint="eastAsia"/>
                <w:color w:val="000000"/>
                <w:kern w:val="0"/>
                <w:sz w:val="16"/>
                <w:szCs w:val="16"/>
                <w:lang/>
              </w:rPr>
              <w:t xml:space="preserve"> </w:t>
            </w:r>
            <w:r>
              <w:rPr>
                <w:rFonts w:ascii="宋体" w:hAnsi="宋体" w:cs="宋体" w:hint="eastAsia"/>
                <w:color w:val="000000"/>
                <w:kern w:val="0"/>
                <w:sz w:val="16"/>
                <w:szCs w:val="16"/>
                <w:lang/>
              </w:rPr>
              <w:t>（盖章）</w:t>
            </w:r>
          </w:p>
        </w:tc>
        <w:tc>
          <w:tcPr>
            <w:tcW w:w="25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川北医学院</w:t>
            </w:r>
          </w:p>
        </w:tc>
      </w:tr>
      <w:tr w:rsidR="00D56551">
        <w:trPr>
          <w:trHeight w:val="294"/>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项目基本情况</w:t>
            </w: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1.</w:t>
            </w:r>
            <w:r>
              <w:rPr>
                <w:rFonts w:ascii="宋体" w:hAnsi="宋体" w:cs="宋体" w:hint="eastAsia"/>
                <w:color w:val="000000"/>
                <w:kern w:val="0"/>
                <w:sz w:val="16"/>
                <w:szCs w:val="16"/>
                <w:lang/>
              </w:rPr>
              <w:t>项目年度目标完成情况</w:t>
            </w: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项目年度目标</w:t>
            </w:r>
          </w:p>
        </w:tc>
        <w:tc>
          <w:tcPr>
            <w:tcW w:w="33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年度目标完成情况</w:t>
            </w:r>
          </w:p>
        </w:tc>
      </w:tr>
      <w:tr w:rsidR="00D56551">
        <w:trPr>
          <w:trHeight w:val="863"/>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1.</w:t>
            </w:r>
            <w:r>
              <w:rPr>
                <w:rFonts w:ascii="宋体" w:hAnsi="宋体" w:cs="宋体" w:hint="eastAsia"/>
                <w:color w:val="000000"/>
                <w:kern w:val="0"/>
                <w:sz w:val="16"/>
                <w:szCs w:val="16"/>
                <w:lang/>
              </w:rPr>
              <w:t>保障实验室开放课题的开展</w:t>
            </w:r>
            <w:r>
              <w:rPr>
                <w:rFonts w:ascii="宋体" w:hAnsi="宋体" w:cs="宋体" w:hint="eastAsia"/>
                <w:color w:val="000000"/>
                <w:kern w:val="0"/>
                <w:sz w:val="16"/>
                <w:szCs w:val="16"/>
                <w:lang/>
              </w:rPr>
              <w:br/>
              <w:t>2.</w:t>
            </w:r>
            <w:r>
              <w:rPr>
                <w:rFonts w:ascii="宋体" w:hAnsi="宋体" w:cs="宋体" w:hint="eastAsia"/>
                <w:color w:val="000000"/>
                <w:kern w:val="0"/>
                <w:sz w:val="16"/>
                <w:szCs w:val="16"/>
                <w:lang/>
              </w:rPr>
              <w:t>保障实验室日常运行所需材料费及检测费</w:t>
            </w:r>
            <w:r>
              <w:rPr>
                <w:rFonts w:ascii="宋体" w:hAnsi="宋体" w:cs="宋体" w:hint="eastAsia"/>
                <w:color w:val="000000"/>
                <w:kern w:val="0"/>
                <w:sz w:val="16"/>
                <w:szCs w:val="16"/>
                <w:lang/>
              </w:rPr>
              <w:br/>
              <w:t>3.</w:t>
            </w:r>
            <w:r>
              <w:rPr>
                <w:rFonts w:ascii="宋体" w:hAnsi="宋体" w:cs="宋体" w:hint="eastAsia"/>
                <w:color w:val="000000"/>
                <w:kern w:val="0"/>
                <w:sz w:val="16"/>
                <w:szCs w:val="16"/>
                <w:lang/>
              </w:rPr>
              <w:t>保障实验室外聘技术人员或研究生劳务支出</w:t>
            </w:r>
          </w:p>
        </w:tc>
        <w:tc>
          <w:tcPr>
            <w:tcW w:w="33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完成项目年度目标。</w:t>
            </w:r>
          </w:p>
        </w:tc>
      </w:tr>
      <w:tr w:rsidR="00D56551">
        <w:trPr>
          <w:trHeight w:val="585"/>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2.</w:t>
            </w:r>
            <w:r>
              <w:rPr>
                <w:rFonts w:ascii="宋体" w:hAnsi="宋体" w:cs="宋体" w:hint="eastAsia"/>
                <w:color w:val="000000"/>
                <w:kern w:val="0"/>
                <w:sz w:val="16"/>
                <w:szCs w:val="16"/>
                <w:lang/>
              </w:rPr>
              <w:t>项目实施内容及过程概述</w:t>
            </w:r>
          </w:p>
        </w:tc>
        <w:tc>
          <w:tcPr>
            <w:tcW w:w="779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按项目任务书时间节点执行。</w:t>
            </w:r>
          </w:p>
        </w:tc>
      </w:tr>
      <w:tr w:rsidR="00D56551">
        <w:trPr>
          <w:trHeight w:val="578"/>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预算执行情况（</w:t>
            </w:r>
            <w:r>
              <w:rPr>
                <w:rFonts w:ascii="宋体" w:hAnsi="宋体" w:cs="宋体" w:hint="eastAsia"/>
                <w:color w:val="000000"/>
                <w:kern w:val="0"/>
                <w:sz w:val="16"/>
                <w:szCs w:val="16"/>
                <w:lang/>
              </w:rPr>
              <w:t>10</w:t>
            </w:r>
            <w:r>
              <w:rPr>
                <w:rFonts w:ascii="宋体" w:hAnsi="宋体" w:cs="宋体" w:hint="eastAsia"/>
                <w:color w:val="000000"/>
                <w:kern w:val="0"/>
                <w:sz w:val="16"/>
                <w:szCs w:val="16"/>
                <w:lang/>
              </w:rPr>
              <w:t>分）</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年度预算数（万元）</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年初预算</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调整后预算数</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预算执行数</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预算执行率</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得分</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原因</w:t>
            </w:r>
          </w:p>
        </w:tc>
      </w:tr>
      <w:tr w:rsidR="00D56551">
        <w:trPr>
          <w:trHeight w:val="339"/>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总额</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15.00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15.00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1.58</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10.51%</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w:t>
            </w:r>
          </w:p>
        </w:tc>
        <w:tc>
          <w:tcPr>
            <w:tcW w:w="16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1.</w:t>
            </w:r>
            <w:r>
              <w:rPr>
                <w:rFonts w:ascii="宋体" w:hAnsi="宋体" w:cs="宋体" w:hint="eastAsia"/>
                <w:i/>
                <w:iCs/>
                <w:color w:val="000000"/>
                <w:kern w:val="0"/>
                <w:sz w:val="16"/>
                <w:szCs w:val="16"/>
                <w:lang/>
              </w:rPr>
              <w:t>预算执行率</w:t>
            </w:r>
            <w:r>
              <w:rPr>
                <w:rFonts w:ascii="宋体" w:hAnsi="宋体" w:cs="宋体" w:hint="eastAsia"/>
                <w:i/>
                <w:iCs/>
                <w:color w:val="000000"/>
                <w:kern w:val="0"/>
                <w:sz w:val="16"/>
                <w:szCs w:val="16"/>
                <w:lang/>
              </w:rPr>
              <w:t>=</w:t>
            </w:r>
            <w:r>
              <w:rPr>
                <w:rFonts w:ascii="宋体" w:hAnsi="宋体" w:cs="宋体" w:hint="eastAsia"/>
                <w:i/>
                <w:iCs/>
                <w:color w:val="000000"/>
                <w:kern w:val="0"/>
                <w:sz w:val="16"/>
                <w:szCs w:val="16"/>
                <w:lang/>
              </w:rPr>
              <w:t>预算执行数</w:t>
            </w:r>
            <w:r>
              <w:rPr>
                <w:rFonts w:ascii="宋体" w:hAnsi="宋体" w:cs="宋体" w:hint="eastAsia"/>
                <w:i/>
                <w:iCs/>
                <w:color w:val="000000"/>
                <w:kern w:val="0"/>
                <w:sz w:val="16"/>
                <w:szCs w:val="16"/>
                <w:lang/>
              </w:rPr>
              <w:t>/</w:t>
            </w:r>
            <w:r>
              <w:rPr>
                <w:rFonts w:ascii="宋体" w:hAnsi="宋体" w:cs="宋体" w:hint="eastAsia"/>
                <w:i/>
                <w:iCs/>
                <w:color w:val="000000"/>
                <w:kern w:val="0"/>
                <w:sz w:val="16"/>
                <w:szCs w:val="16"/>
                <w:lang/>
              </w:rPr>
              <w:t>调整后预算数，预算执行率未达到</w:t>
            </w:r>
            <w:r>
              <w:rPr>
                <w:rFonts w:ascii="宋体" w:hAnsi="宋体" w:cs="宋体" w:hint="eastAsia"/>
                <w:i/>
                <w:iCs/>
                <w:color w:val="000000"/>
                <w:kern w:val="0"/>
                <w:sz w:val="16"/>
                <w:szCs w:val="16"/>
                <w:lang/>
              </w:rPr>
              <w:t>90%</w:t>
            </w:r>
            <w:r>
              <w:rPr>
                <w:rFonts w:ascii="宋体" w:hAnsi="宋体" w:cs="宋体" w:hint="eastAsia"/>
                <w:i/>
                <w:iCs/>
                <w:color w:val="000000"/>
                <w:kern w:val="0"/>
                <w:sz w:val="16"/>
                <w:szCs w:val="16"/>
                <w:lang/>
              </w:rPr>
              <w:t>的需说明原因（</w:t>
            </w:r>
            <w:r>
              <w:rPr>
                <w:rFonts w:ascii="宋体" w:hAnsi="宋体" w:cs="宋体" w:hint="eastAsia"/>
                <w:i/>
                <w:iCs/>
                <w:color w:val="000000"/>
                <w:kern w:val="0"/>
                <w:sz w:val="16"/>
                <w:szCs w:val="16"/>
                <w:lang/>
              </w:rPr>
              <w:t>100</w:t>
            </w:r>
            <w:r>
              <w:rPr>
                <w:rFonts w:ascii="宋体" w:hAnsi="宋体" w:cs="宋体" w:hint="eastAsia"/>
                <w:i/>
                <w:iCs/>
                <w:color w:val="000000"/>
                <w:kern w:val="0"/>
                <w:sz w:val="16"/>
                <w:szCs w:val="16"/>
                <w:lang/>
              </w:rPr>
              <w:t>字以内）</w:t>
            </w:r>
            <w:r>
              <w:rPr>
                <w:rFonts w:ascii="宋体" w:hAnsi="宋体" w:cs="宋体" w:hint="eastAsia"/>
                <w:i/>
                <w:iCs/>
                <w:color w:val="000000"/>
                <w:kern w:val="0"/>
                <w:sz w:val="16"/>
                <w:szCs w:val="16"/>
                <w:lang/>
              </w:rPr>
              <w:t>;2.</w:t>
            </w:r>
            <w:r>
              <w:rPr>
                <w:rFonts w:ascii="宋体" w:hAnsi="宋体" w:cs="宋体" w:hint="eastAsia"/>
                <w:i/>
                <w:iCs/>
                <w:color w:val="000000"/>
                <w:kern w:val="0"/>
                <w:sz w:val="16"/>
                <w:szCs w:val="16"/>
                <w:lang/>
              </w:rPr>
              <w:t>年中发生预算调整的（追加或调减）</w:t>
            </w:r>
            <w:r>
              <w:rPr>
                <w:rFonts w:ascii="宋体" w:hAnsi="宋体" w:cs="宋体" w:hint="eastAsia"/>
                <w:i/>
                <w:iCs/>
                <w:color w:val="000000"/>
                <w:kern w:val="0"/>
                <w:sz w:val="16"/>
                <w:szCs w:val="16"/>
                <w:lang/>
              </w:rPr>
              <w:t>,</w:t>
            </w:r>
            <w:r>
              <w:rPr>
                <w:rFonts w:ascii="宋体" w:hAnsi="宋体" w:cs="宋体" w:hint="eastAsia"/>
                <w:i/>
                <w:iCs/>
                <w:color w:val="000000"/>
                <w:kern w:val="0"/>
                <w:sz w:val="16"/>
                <w:szCs w:val="16"/>
                <w:lang/>
              </w:rPr>
              <w:t>应单独说明理由；</w:t>
            </w:r>
            <w:r>
              <w:rPr>
                <w:rFonts w:ascii="宋体" w:hAnsi="宋体" w:cs="宋体" w:hint="eastAsia"/>
                <w:i/>
                <w:iCs/>
                <w:color w:val="000000"/>
                <w:kern w:val="0"/>
                <w:sz w:val="16"/>
                <w:szCs w:val="16"/>
                <w:lang/>
              </w:rPr>
              <w:t>3.</w:t>
            </w:r>
            <w:r>
              <w:rPr>
                <w:rFonts w:ascii="宋体" w:hAnsi="宋体" w:cs="宋体" w:hint="eastAsia"/>
                <w:i/>
                <w:iCs/>
                <w:color w:val="000000"/>
                <w:kern w:val="0"/>
                <w:sz w:val="16"/>
                <w:szCs w:val="16"/>
                <w:lang/>
              </w:rPr>
              <w:t>其他资金包括：社会投入资金、银行贷款</w:t>
            </w:r>
            <w:r>
              <w:rPr>
                <w:rFonts w:ascii="宋体" w:hAnsi="宋体" w:cs="宋体" w:hint="eastAsia"/>
                <w:i/>
                <w:iCs/>
                <w:color w:val="000000"/>
                <w:kern w:val="0"/>
                <w:sz w:val="16"/>
                <w:szCs w:val="16"/>
                <w:lang/>
              </w:rPr>
              <w:t>.</w:t>
            </w:r>
          </w:p>
        </w:tc>
      </w:tr>
      <w:tr w:rsidR="00D56551">
        <w:trPr>
          <w:trHeight w:val="374"/>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其中：财政资金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15.00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15.00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1.58</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10.51%</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财政专户管理资金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50"/>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单位资金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1072"/>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其他资金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1147"/>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绩效指标（</w:t>
            </w:r>
            <w:r>
              <w:rPr>
                <w:rFonts w:ascii="宋体" w:hAnsi="宋体" w:cs="宋体" w:hint="eastAsia"/>
                <w:color w:val="000000"/>
                <w:kern w:val="0"/>
                <w:sz w:val="16"/>
                <w:szCs w:val="16"/>
                <w:lang/>
              </w:rPr>
              <w:t>90</w:t>
            </w:r>
            <w:r>
              <w:rPr>
                <w:rFonts w:ascii="宋体" w:hAnsi="宋体" w:cs="宋体" w:hint="eastAsia"/>
                <w:color w:val="000000"/>
                <w:kern w:val="0"/>
                <w:sz w:val="16"/>
                <w:szCs w:val="16"/>
                <w:lang/>
              </w:rPr>
              <w:t>分）</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一级指标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二级指标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三级指标</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指标性质</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指标值</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度量单位</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完成值</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得分</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未完成原因分析</w:t>
            </w: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产出指标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数量指标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新入室开展科研人员数量</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40</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人数</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42</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50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50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效益指标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社会效益指标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实验室开放共享服务次数</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240</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次</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250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满意度指标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满意度指标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实验室科研人员满意度调查</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40</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人数</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40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294"/>
        </w:trPr>
        <w:tc>
          <w:tcPr>
            <w:tcW w:w="707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合计</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91</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评价结论</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项目绩效指标完成姣好，达到年度目标，预算执行速度姣慢。</w:t>
            </w: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存在问题</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经费执行率偏低。</w:t>
            </w: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改进措施</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加强项目中期检查，督促预算执行。</w:t>
            </w:r>
          </w:p>
        </w:tc>
      </w:tr>
      <w:tr w:rsidR="00D56551">
        <w:trPr>
          <w:trHeight w:val="294"/>
        </w:trPr>
        <w:tc>
          <w:tcPr>
            <w:tcW w:w="482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项目负责人：刘云</w:t>
            </w:r>
          </w:p>
        </w:tc>
        <w:tc>
          <w:tcPr>
            <w:tcW w:w="479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财务负责人：李小华</w:t>
            </w:r>
          </w:p>
        </w:tc>
      </w:tr>
      <w:tr w:rsidR="00D56551">
        <w:trPr>
          <w:trHeight w:val="294"/>
        </w:trPr>
        <w:tc>
          <w:tcPr>
            <w:tcW w:w="640"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18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074"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502"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22"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7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01"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7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5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56" w:type="dxa"/>
            <w:tcBorders>
              <w:top w:val="nil"/>
              <w:left w:val="nil"/>
              <w:bottom w:val="nil"/>
              <w:right w:val="nil"/>
            </w:tcBorders>
            <w:shd w:val="clear" w:color="auto" w:fill="auto"/>
            <w:vAlign w:val="center"/>
          </w:tcPr>
          <w:p w:rsidR="00D56551" w:rsidRDefault="00D56551">
            <w:pPr>
              <w:jc w:val="center"/>
              <w:rPr>
                <w:rFonts w:ascii="宋体" w:hAnsi="宋体" w:cs="宋体"/>
                <w:color w:val="000000"/>
                <w:sz w:val="16"/>
                <w:szCs w:val="16"/>
              </w:rPr>
            </w:pPr>
          </w:p>
        </w:tc>
        <w:tc>
          <w:tcPr>
            <w:tcW w:w="1631"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r>
      <w:tr w:rsidR="00D56551">
        <w:trPr>
          <w:trHeight w:val="754"/>
        </w:trPr>
        <w:tc>
          <w:tcPr>
            <w:tcW w:w="962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rPr>
              <w:t>部门预算项目支出绩效自评表（</w:t>
            </w:r>
            <w:r>
              <w:rPr>
                <w:rFonts w:ascii="宋体" w:hAnsi="宋体" w:cs="宋体" w:hint="eastAsia"/>
                <w:b/>
                <w:bCs/>
                <w:color w:val="000000"/>
                <w:kern w:val="0"/>
                <w:sz w:val="16"/>
                <w:szCs w:val="16"/>
                <w:lang/>
              </w:rPr>
              <w:t>2022</w:t>
            </w:r>
            <w:r>
              <w:rPr>
                <w:rFonts w:ascii="宋体" w:hAnsi="宋体" w:cs="宋体" w:hint="eastAsia"/>
                <w:b/>
                <w:bCs/>
                <w:color w:val="000000"/>
                <w:kern w:val="0"/>
                <w:sz w:val="16"/>
                <w:szCs w:val="16"/>
                <w:lang/>
              </w:rPr>
              <w:t>年度）</w:t>
            </w:r>
          </w:p>
        </w:tc>
      </w:tr>
      <w:tr w:rsidR="00D56551">
        <w:trPr>
          <w:trHeight w:val="294"/>
        </w:trPr>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lastRenderedPageBreak/>
              <w:t>项目名称</w:t>
            </w:r>
          </w:p>
        </w:tc>
        <w:tc>
          <w:tcPr>
            <w:tcW w:w="779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51000022T000005035463-</w:t>
            </w:r>
            <w:r>
              <w:rPr>
                <w:rFonts w:ascii="宋体" w:hAnsi="宋体" w:cs="宋体" w:hint="eastAsia"/>
                <w:color w:val="000000"/>
                <w:kern w:val="0"/>
                <w:sz w:val="16"/>
                <w:szCs w:val="16"/>
                <w:lang/>
              </w:rPr>
              <w:t>支持地方高校改革发展资金</w:t>
            </w:r>
          </w:p>
        </w:tc>
      </w:tr>
      <w:tr w:rsidR="00D56551">
        <w:trPr>
          <w:trHeight w:val="863"/>
        </w:trPr>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主管部门</w:t>
            </w: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四川省教育厅部门</w:t>
            </w:r>
          </w:p>
        </w:tc>
        <w:tc>
          <w:tcPr>
            <w:tcW w:w="776" w:type="dxa"/>
            <w:tcBorders>
              <w:top w:val="nil"/>
              <w:left w:val="nil"/>
              <w:bottom w:val="nil"/>
              <w:right w:val="nil"/>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实施单位</w:t>
            </w:r>
            <w:r>
              <w:rPr>
                <w:rFonts w:ascii="宋体" w:hAnsi="宋体" w:cs="宋体" w:hint="eastAsia"/>
                <w:color w:val="000000"/>
                <w:kern w:val="0"/>
                <w:sz w:val="16"/>
                <w:szCs w:val="16"/>
                <w:lang/>
              </w:rPr>
              <w:t xml:space="preserve"> </w:t>
            </w:r>
            <w:r>
              <w:rPr>
                <w:rFonts w:ascii="宋体" w:hAnsi="宋体" w:cs="宋体" w:hint="eastAsia"/>
                <w:color w:val="000000"/>
                <w:kern w:val="0"/>
                <w:sz w:val="16"/>
                <w:szCs w:val="16"/>
                <w:lang/>
              </w:rPr>
              <w:t>（盖章）</w:t>
            </w:r>
          </w:p>
        </w:tc>
        <w:tc>
          <w:tcPr>
            <w:tcW w:w="25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川北医学院</w:t>
            </w:r>
          </w:p>
        </w:tc>
      </w:tr>
      <w:tr w:rsidR="00D56551">
        <w:trPr>
          <w:trHeight w:val="294"/>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项目基本情况</w:t>
            </w: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1.</w:t>
            </w:r>
            <w:r>
              <w:rPr>
                <w:rFonts w:ascii="宋体" w:hAnsi="宋体" w:cs="宋体" w:hint="eastAsia"/>
                <w:color w:val="000000"/>
                <w:kern w:val="0"/>
                <w:sz w:val="16"/>
                <w:szCs w:val="16"/>
                <w:lang/>
              </w:rPr>
              <w:t>项目年度目标完成情况</w:t>
            </w: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项目年度目标</w:t>
            </w:r>
          </w:p>
        </w:tc>
        <w:tc>
          <w:tcPr>
            <w:tcW w:w="33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年度目标完成情况</w:t>
            </w:r>
          </w:p>
        </w:tc>
      </w:tr>
      <w:tr w:rsidR="00D56551">
        <w:trPr>
          <w:trHeight w:val="597"/>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支持我校科研发展，加大科研实验平台建设。</w:t>
            </w:r>
          </w:p>
        </w:tc>
        <w:tc>
          <w:tcPr>
            <w:tcW w:w="33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改善学校办学条件，提升科研平台建设。</w:t>
            </w:r>
          </w:p>
        </w:tc>
      </w:tr>
      <w:tr w:rsidR="00D56551">
        <w:trPr>
          <w:trHeight w:val="585"/>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2.</w:t>
            </w:r>
            <w:r>
              <w:rPr>
                <w:rFonts w:ascii="宋体" w:hAnsi="宋体" w:cs="宋体" w:hint="eastAsia"/>
                <w:color w:val="000000"/>
                <w:kern w:val="0"/>
                <w:sz w:val="16"/>
                <w:szCs w:val="16"/>
                <w:lang/>
              </w:rPr>
              <w:t>项目实施内容及过程概述</w:t>
            </w:r>
          </w:p>
        </w:tc>
        <w:tc>
          <w:tcPr>
            <w:tcW w:w="779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该项目立项后实施，对学校公共实验平台装修进行了改造，改善了学校办学条件，提升科研平台建设。</w:t>
            </w:r>
          </w:p>
        </w:tc>
      </w:tr>
      <w:tr w:rsidR="00D56551">
        <w:trPr>
          <w:trHeight w:val="578"/>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预算执行情况（</w:t>
            </w:r>
            <w:r>
              <w:rPr>
                <w:rFonts w:ascii="宋体" w:hAnsi="宋体" w:cs="宋体" w:hint="eastAsia"/>
                <w:color w:val="000000"/>
                <w:kern w:val="0"/>
                <w:sz w:val="16"/>
                <w:szCs w:val="16"/>
                <w:lang/>
              </w:rPr>
              <w:t>10</w:t>
            </w:r>
            <w:r>
              <w:rPr>
                <w:rFonts w:ascii="宋体" w:hAnsi="宋体" w:cs="宋体" w:hint="eastAsia"/>
                <w:color w:val="000000"/>
                <w:kern w:val="0"/>
                <w:sz w:val="16"/>
                <w:szCs w:val="16"/>
                <w:lang/>
              </w:rPr>
              <w:t>分）</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年度预算数（万元）</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年初预算</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调整后预算数</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预算执行数</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预算执行率</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得分</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原因</w:t>
            </w:r>
          </w:p>
        </w:tc>
      </w:tr>
      <w:tr w:rsidR="00D56551">
        <w:trPr>
          <w:trHeight w:val="339"/>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总额</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346.00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346.00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318.57</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92.07%</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16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74"/>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其中：财政资金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346.00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346.00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318.57</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92.07%</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财政专户管理资金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50"/>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单位资金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32"/>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其他资金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1147"/>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绩效指标（</w:t>
            </w:r>
            <w:r>
              <w:rPr>
                <w:rFonts w:ascii="宋体" w:hAnsi="宋体" w:cs="宋体" w:hint="eastAsia"/>
                <w:color w:val="000000"/>
                <w:kern w:val="0"/>
                <w:sz w:val="16"/>
                <w:szCs w:val="16"/>
                <w:lang/>
              </w:rPr>
              <w:t>90</w:t>
            </w:r>
            <w:r>
              <w:rPr>
                <w:rFonts w:ascii="宋体" w:hAnsi="宋体" w:cs="宋体" w:hint="eastAsia"/>
                <w:color w:val="000000"/>
                <w:kern w:val="0"/>
                <w:sz w:val="16"/>
                <w:szCs w:val="16"/>
                <w:lang/>
              </w:rPr>
              <w:t>分）</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一级指标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二级指标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三级指标</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指标性质</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指标值</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度量单位</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完成值</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得分</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未完成原因分析</w:t>
            </w: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产出指标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数量指标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学校公共实验平台装修改造</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项</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299"/>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时效指标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2022</w:t>
            </w:r>
            <w:r>
              <w:rPr>
                <w:rFonts w:ascii="宋体" w:hAnsi="宋体" w:cs="宋体" w:hint="eastAsia"/>
                <w:color w:val="000000"/>
                <w:kern w:val="0"/>
                <w:sz w:val="16"/>
                <w:szCs w:val="16"/>
                <w:lang/>
              </w:rPr>
              <w:t>年</w:t>
            </w:r>
            <w:r>
              <w:rPr>
                <w:rFonts w:ascii="宋体" w:hAnsi="宋体" w:cs="宋体" w:hint="eastAsia"/>
                <w:color w:val="000000"/>
                <w:kern w:val="0"/>
                <w:sz w:val="16"/>
                <w:szCs w:val="16"/>
                <w:lang/>
              </w:rPr>
              <w:t>12</w:t>
            </w:r>
            <w:r>
              <w:rPr>
                <w:rFonts w:ascii="宋体" w:hAnsi="宋体" w:cs="宋体" w:hint="eastAsia"/>
                <w:color w:val="000000"/>
                <w:kern w:val="0"/>
                <w:sz w:val="16"/>
                <w:szCs w:val="16"/>
                <w:lang/>
              </w:rPr>
              <w:t>月</w:t>
            </w:r>
            <w:r>
              <w:rPr>
                <w:rFonts w:ascii="宋体" w:hAnsi="宋体" w:cs="宋体" w:hint="eastAsia"/>
                <w:color w:val="000000"/>
                <w:kern w:val="0"/>
                <w:sz w:val="16"/>
                <w:szCs w:val="16"/>
                <w:lang/>
              </w:rPr>
              <w:t>31</w:t>
            </w:r>
            <w:r>
              <w:rPr>
                <w:rFonts w:ascii="宋体" w:hAnsi="宋体" w:cs="宋体" w:hint="eastAsia"/>
                <w:color w:val="000000"/>
                <w:kern w:val="0"/>
                <w:sz w:val="16"/>
                <w:szCs w:val="16"/>
                <w:lang/>
              </w:rPr>
              <w:t>日前</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2022</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2022</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863"/>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效益指标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可持续发展指标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改善科研环境，激励科研人员科学研究。激情</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定性</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好坏</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好</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满意度指标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服务对象满意度指标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科研人员满意度</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90</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90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294"/>
        </w:trPr>
        <w:tc>
          <w:tcPr>
            <w:tcW w:w="707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合计</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评价结论</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综合自评</w:t>
            </w:r>
            <w:r>
              <w:rPr>
                <w:rFonts w:ascii="宋体" w:hAnsi="宋体" w:cs="宋体" w:hint="eastAsia"/>
                <w:i/>
                <w:iCs/>
                <w:color w:val="000000"/>
                <w:kern w:val="0"/>
                <w:sz w:val="16"/>
                <w:szCs w:val="16"/>
                <w:lang/>
              </w:rPr>
              <w:t>100</w:t>
            </w:r>
            <w:r>
              <w:rPr>
                <w:rFonts w:ascii="宋体" w:hAnsi="宋体" w:cs="宋体" w:hint="eastAsia"/>
                <w:i/>
                <w:iCs/>
                <w:color w:val="000000"/>
                <w:kern w:val="0"/>
                <w:sz w:val="16"/>
                <w:szCs w:val="16"/>
                <w:lang/>
              </w:rPr>
              <w:t>分，对学校公共实验平台装修进行了改造，改善了学校办学条件，提升科研平台建设。</w:t>
            </w: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存在问题</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无</w:t>
            </w: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改进措施</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无</w:t>
            </w:r>
          </w:p>
        </w:tc>
      </w:tr>
      <w:tr w:rsidR="00D56551">
        <w:trPr>
          <w:trHeight w:val="294"/>
        </w:trPr>
        <w:tc>
          <w:tcPr>
            <w:tcW w:w="482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项目负责人：张小明</w:t>
            </w:r>
          </w:p>
        </w:tc>
        <w:tc>
          <w:tcPr>
            <w:tcW w:w="479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财务负责人：李小华</w:t>
            </w:r>
          </w:p>
        </w:tc>
      </w:tr>
      <w:tr w:rsidR="00D56551">
        <w:trPr>
          <w:trHeight w:val="294"/>
        </w:trPr>
        <w:tc>
          <w:tcPr>
            <w:tcW w:w="640"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18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074"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502"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22"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7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01"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7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5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56" w:type="dxa"/>
            <w:tcBorders>
              <w:top w:val="nil"/>
              <w:left w:val="nil"/>
              <w:bottom w:val="nil"/>
              <w:right w:val="nil"/>
            </w:tcBorders>
            <w:shd w:val="clear" w:color="auto" w:fill="auto"/>
            <w:vAlign w:val="center"/>
          </w:tcPr>
          <w:p w:rsidR="00D56551" w:rsidRDefault="00D56551">
            <w:pPr>
              <w:jc w:val="center"/>
              <w:rPr>
                <w:rFonts w:ascii="宋体" w:hAnsi="宋体" w:cs="宋体"/>
                <w:color w:val="000000"/>
                <w:sz w:val="16"/>
                <w:szCs w:val="16"/>
              </w:rPr>
            </w:pPr>
          </w:p>
        </w:tc>
        <w:tc>
          <w:tcPr>
            <w:tcW w:w="1631"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r>
      <w:tr w:rsidR="00D56551">
        <w:trPr>
          <w:trHeight w:val="754"/>
        </w:trPr>
        <w:tc>
          <w:tcPr>
            <w:tcW w:w="962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rPr>
              <w:t>部门预算项目支出绩效自评表（</w:t>
            </w:r>
            <w:r>
              <w:rPr>
                <w:rFonts w:ascii="宋体" w:hAnsi="宋体" w:cs="宋体" w:hint="eastAsia"/>
                <w:b/>
                <w:bCs/>
                <w:color w:val="000000"/>
                <w:kern w:val="0"/>
                <w:sz w:val="16"/>
                <w:szCs w:val="16"/>
                <w:lang/>
              </w:rPr>
              <w:t>2022</w:t>
            </w:r>
            <w:r>
              <w:rPr>
                <w:rFonts w:ascii="宋体" w:hAnsi="宋体" w:cs="宋体" w:hint="eastAsia"/>
                <w:b/>
                <w:bCs/>
                <w:color w:val="000000"/>
                <w:kern w:val="0"/>
                <w:sz w:val="16"/>
                <w:szCs w:val="16"/>
                <w:lang/>
              </w:rPr>
              <w:t>年度）</w:t>
            </w:r>
          </w:p>
        </w:tc>
      </w:tr>
      <w:tr w:rsidR="00D56551">
        <w:trPr>
          <w:trHeight w:val="294"/>
        </w:trPr>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项目名称</w:t>
            </w:r>
          </w:p>
        </w:tc>
        <w:tc>
          <w:tcPr>
            <w:tcW w:w="779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51000022T000005035873-</w:t>
            </w:r>
            <w:r>
              <w:rPr>
                <w:rFonts w:ascii="宋体" w:hAnsi="宋体" w:cs="宋体" w:hint="eastAsia"/>
                <w:color w:val="000000"/>
                <w:kern w:val="0"/>
                <w:sz w:val="16"/>
                <w:szCs w:val="16"/>
                <w:lang/>
              </w:rPr>
              <w:t>中央财政引导地方科技发展资金</w:t>
            </w:r>
          </w:p>
        </w:tc>
      </w:tr>
      <w:tr w:rsidR="00D56551">
        <w:trPr>
          <w:trHeight w:val="863"/>
        </w:trPr>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lastRenderedPageBreak/>
              <w:t>主管部门</w:t>
            </w: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四川省教育厅部门</w:t>
            </w:r>
          </w:p>
        </w:tc>
        <w:tc>
          <w:tcPr>
            <w:tcW w:w="776" w:type="dxa"/>
            <w:tcBorders>
              <w:top w:val="nil"/>
              <w:left w:val="nil"/>
              <w:bottom w:val="nil"/>
              <w:right w:val="nil"/>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实施单位</w:t>
            </w:r>
            <w:r>
              <w:rPr>
                <w:rFonts w:ascii="宋体" w:hAnsi="宋体" w:cs="宋体" w:hint="eastAsia"/>
                <w:color w:val="000000"/>
                <w:kern w:val="0"/>
                <w:sz w:val="16"/>
                <w:szCs w:val="16"/>
                <w:lang/>
              </w:rPr>
              <w:t xml:space="preserve"> </w:t>
            </w:r>
            <w:r>
              <w:rPr>
                <w:rFonts w:ascii="宋体" w:hAnsi="宋体" w:cs="宋体" w:hint="eastAsia"/>
                <w:color w:val="000000"/>
                <w:kern w:val="0"/>
                <w:sz w:val="16"/>
                <w:szCs w:val="16"/>
                <w:lang/>
              </w:rPr>
              <w:t>（盖章）</w:t>
            </w:r>
          </w:p>
        </w:tc>
        <w:tc>
          <w:tcPr>
            <w:tcW w:w="25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川北医学院</w:t>
            </w:r>
          </w:p>
        </w:tc>
      </w:tr>
      <w:tr w:rsidR="00D56551">
        <w:trPr>
          <w:trHeight w:val="294"/>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项目基本情况</w:t>
            </w: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1.</w:t>
            </w:r>
            <w:r>
              <w:rPr>
                <w:rFonts w:ascii="宋体" w:hAnsi="宋体" w:cs="宋体" w:hint="eastAsia"/>
                <w:color w:val="000000"/>
                <w:kern w:val="0"/>
                <w:sz w:val="16"/>
                <w:szCs w:val="16"/>
                <w:lang/>
              </w:rPr>
              <w:t>项目年度目标完成情况</w:t>
            </w: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项目年度目标</w:t>
            </w:r>
          </w:p>
        </w:tc>
        <w:tc>
          <w:tcPr>
            <w:tcW w:w="33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年度目标完成情况</w:t>
            </w:r>
          </w:p>
        </w:tc>
      </w:tr>
      <w:tr w:rsidR="00D56551">
        <w:trPr>
          <w:trHeight w:val="597"/>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按时完成预定论文、专利等成果，按预定标准和时间完成项目，按预定成本完成，无资金浪费，同时产生一定社会效益和经济效益。</w:t>
            </w:r>
          </w:p>
        </w:tc>
        <w:tc>
          <w:tcPr>
            <w:tcW w:w="33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按时完成年度成果目标，按预定成本完成，无资金浪费，同时产生了一定社会效益和经济效益。</w:t>
            </w:r>
          </w:p>
        </w:tc>
      </w:tr>
      <w:tr w:rsidR="00D56551">
        <w:trPr>
          <w:trHeight w:val="585"/>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2.</w:t>
            </w:r>
            <w:r>
              <w:rPr>
                <w:rFonts w:ascii="宋体" w:hAnsi="宋体" w:cs="宋体" w:hint="eastAsia"/>
                <w:color w:val="000000"/>
                <w:kern w:val="0"/>
                <w:sz w:val="16"/>
                <w:szCs w:val="16"/>
                <w:lang/>
              </w:rPr>
              <w:t>项目实施内容及过程概述</w:t>
            </w:r>
          </w:p>
        </w:tc>
        <w:tc>
          <w:tcPr>
            <w:tcW w:w="779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按项目任务书年度计划执行。</w:t>
            </w:r>
          </w:p>
        </w:tc>
      </w:tr>
      <w:tr w:rsidR="00D56551">
        <w:trPr>
          <w:trHeight w:val="578"/>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预算执行情况（</w:t>
            </w:r>
            <w:r>
              <w:rPr>
                <w:rFonts w:ascii="宋体" w:hAnsi="宋体" w:cs="宋体" w:hint="eastAsia"/>
                <w:color w:val="000000"/>
                <w:kern w:val="0"/>
                <w:sz w:val="16"/>
                <w:szCs w:val="16"/>
                <w:lang/>
              </w:rPr>
              <w:t>10</w:t>
            </w:r>
            <w:r>
              <w:rPr>
                <w:rFonts w:ascii="宋体" w:hAnsi="宋体" w:cs="宋体" w:hint="eastAsia"/>
                <w:color w:val="000000"/>
                <w:kern w:val="0"/>
                <w:sz w:val="16"/>
                <w:szCs w:val="16"/>
                <w:lang/>
              </w:rPr>
              <w:t>分）</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年度预算数（万元）</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年初预算</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调整后预算数</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预算执行数</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预算执行率</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得分</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原因</w:t>
            </w:r>
          </w:p>
        </w:tc>
      </w:tr>
      <w:tr w:rsidR="00D56551">
        <w:trPr>
          <w:trHeight w:val="339"/>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总额</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16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74"/>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其中：财政资金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财政专户管理资金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50"/>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单位资金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32"/>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其他资金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1147"/>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绩效指标（</w:t>
            </w:r>
            <w:r>
              <w:rPr>
                <w:rFonts w:ascii="宋体" w:hAnsi="宋体" w:cs="宋体" w:hint="eastAsia"/>
                <w:color w:val="000000"/>
                <w:kern w:val="0"/>
                <w:sz w:val="16"/>
                <w:szCs w:val="16"/>
                <w:lang/>
              </w:rPr>
              <w:t>90</w:t>
            </w:r>
            <w:r>
              <w:rPr>
                <w:rFonts w:ascii="宋体" w:hAnsi="宋体" w:cs="宋体" w:hint="eastAsia"/>
                <w:color w:val="000000"/>
                <w:kern w:val="0"/>
                <w:sz w:val="16"/>
                <w:szCs w:val="16"/>
                <w:lang/>
              </w:rPr>
              <w:t>分）</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一级指标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二级指标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三级指标</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指标性质</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指标值</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度量单位</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完成值</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得分</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未完成原因分析</w:t>
            </w:r>
          </w:p>
        </w:tc>
      </w:tr>
      <w:tr w:rsidR="00D56551">
        <w:trPr>
          <w:trHeight w:val="299"/>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产出指标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数量指标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论文、专利等数量</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9</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篇</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25</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50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50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效益指标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社会效益指标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培训从事技术创新人员</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12</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人数</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15</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满意度指标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满意度指标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无</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定性</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好坏</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好</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294"/>
        </w:trPr>
        <w:tc>
          <w:tcPr>
            <w:tcW w:w="707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合计</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评价结论</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项目绩效指标完成，预算执行情况好。</w:t>
            </w: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存在问题</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无</w:t>
            </w: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改进措施</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无</w:t>
            </w:r>
          </w:p>
        </w:tc>
      </w:tr>
      <w:tr w:rsidR="00D56551">
        <w:trPr>
          <w:trHeight w:val="294"/>
        </w:trPr>
        <w:tc>
          <w:tcPr>
            <w:tcW w:w="482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项目负责人：刘云</w:t>
            </w:r>
          </w:p>
        </w:tc>
        <w:tc>
          <w:tcPr>
            <w:tcW w:w="479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财务负责人：李小华</w:t>
            </w:r>
          </w:p>
        </w:tc>
      </w:tr>
      <w:tr w:rsidR="00D56551">
        <w:trPr>
          <w:trHeight w:val="294"/>
        </w:trPr>
        <w:tc>
          <w:tcPr>
            <w:tcW w:w="640"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18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074"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502"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22"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7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01"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7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5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56" w:type="dxa"/>
            <w:tcBorders>
              <w:top w:val="nil"/>
              <w:left w:val="nil"/>
              <w:bottom w:val="nil"/>
              <w:right w:val="nil"/>
            </w:tcBorders>
            <w:shd w:val="clear" w:color="auto" w:fill="auto"/>
            <w:vAlign w:val="center"/>
          </w:tcPr>
          <w:p w:rsidR="00D56551" w:rsidRDefault="00D56551">
            <w:pPr>
              <w:jc w:val="center"/>
              <w:rPr>
                <w:rFonts w:ascii="宋体" w:hAnsi="宋体" w:cs="宋体"/>
                <w:color w:val="000000"/>
                <w:sz w:val="16"/>
                <w:szCs w:val="16"/>
              </w:rPr>
            </w:pPr>
          </w:p>
        </w:tc>
        <w:tc>
          <w:tcPr>
            <w:tcW w:w="1631"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r>
      <w:tr w:rsidR="00D56551">
        <w:trPr>
          <w:trHeight w:val="754"/>
        </w:trPr>
        <w:tc>
          <w:tcPr>
            <w:tcW w:w="962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rPr>
              <w:t>部门预算项目支出绩效自评表（</w:t>
            </w:r>
            <w:r>
              <w:rPr>
                <w:rFonts w:ascii="宋体" w:hAnsi="宋体" w:cs="宋体" w:hint="eastAsia"/>
                <w:b/>
                <w:bCs/>
                <w:color w:val="000000"/>
                <w:kern w:val="0"/>
                <w:sz w:val="16"/>
                <w:szCs w:val="16"/>
                <w:lang/>
              </w:rPr>
              <w:t>2022</w:t>
            </w:r>
            <w:r>
              <w:rPr>
                <w:rFonts w:ascii="宋体" w:hAnsi="宋体" w:cs="宋体" w:hint="eastAsia"/>
                <w:b/>
                <w:bCs/>
                <w:color w:val="000000"/>
                <w:kern w:val="0"/>
                <w:sz w:val="16"/>
                <w:szCs w:val="16"/>
                <w:lang/>
              </w:rPr>
              <w:t>年度）</w:t>
            </w:r>
          </w:p>
        </w:tc>
      </w:tr>
      <w:tr w:rsidR="00D56551">
        <w:trPr>
          <w:trHeight w:val="294"/>
        </w:trPr>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项目名称</w:t>
            </w:r>
          </w:p>
        </w:tc>
        <w:tc>
          <w:tcPr>
            <w:tcW w:w="779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51000022T000005039667-</w:t>
            </w:r>
            <w:r>
              <w:rPr>
                <w:rFonts w:ascii="宋体" w:hAnsi="宋体" w:cs="宋体" w:hint="eastAsia"/>
                <w:color w:val="000000"/>
                <w:kern w:val="0"/>
                <w:sz w:val="16"/>
                <w:szCs w:val="16"/>
                <w:lang/>
              </w:rPr>
              <w:t>卫生健康人才培养经费</w:t>
            </w:r>
            <w:r>
              <w:rPr>
                <w:rFonts w:ascii="宋体" w:hAnsi="宋体" w:cs="宋体" w:hint="eastAsia"/>
                <w:color w:val="000000"/>
                <w:kern w:val="0"/>
                <w:sz w:val="16"/>
                <w:szCs w:val="16"/>
                <w:lang/>
              </w:rPr>
              <w:t>-</w:t>
            </w:r>
            <w:r>
              <w:rPr>
                <w:rFonts w:ascii="宋体" w:hAnsi="宋体" w:cs="宋体" w:hint="eastAsia"/>
                <w:color w:val="000000"/>
                <w:kern w:val="0"/>
                <w:sz w:val="16"/>
                <w:szCs w:val="16"/>
                <w:lang/>
              </w:rPr>
              <w:t>川北医学院</w:t>
            </w:r>
          </w:p>
        </w:tc>
      </w:tr>
      <w:tr w:rsidR="00D56551">
        <w:trPr>
          <w:trHeight w:val="863"/>
        </w:trPr>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主管部门</w:t>
            </w: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四川省教育厅部门</w:t>
            </w:r>
          </w:p>
        </w:tc>
        <w:tc>
          <w:tcPr>
            <w:tcW w:w="776" w:type="dxa"/>
            <w:tcBorders>
              <w:top w:val="nil"/>
              <w:left w:val="nil"/>
              <w:bottom w:val="nil"/>
              <w:right w:val="nil"/>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实施单位</w:t>
            </w:r>
            <w:r>
              <w:rPr>
                <w:rFonts w:ascii="宋体" w:hAnsi="宋体" w:cs="宋体" w:hint="eastAsia"/>
                <w:color w:val="000000"/>
                <w:kern w:val="0"/>
                <w:sz w:val="16"/>
                <w:szCs w:val="16"/>
                <w:lang/>
              </w:rPr>
              <w:t xml:space="preserve"> </w:t>
            </w:r>
            <w:r>
              <w:rPr>
                <w:rFonts w:ascii="宋体" w:hAnsi="宋体" w:cs="宋体" w:hint="eastAsia"/>
                <w:color w:val="000000"/>
                <w:kern w:val="0"/>
                <w:sz w:val="16"/>
                <w:szCs w:val="16"/>
                <w:lang/>
              </w:rPr>
              <w:t>（盖章）</w:t>
            </w:r>
          </w:p>
        </w:tc>
        <w:tc>
          <w:tcPr>
            <w:tcW w:w="25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川北医学院</w:t>
            </w:r>
          </w:p>
        </w:tc>
      </w:tr>
      <w:tr w:rsidR="00D56551">
        <w:trPr>
          <w:trHeight w:val="294"/>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w:t>
            </w:r>
            <w:r>
              <w:rPr>
                <w:rFonts w:ascii="宋体" w:hAnsi="宋体" w:cs="宋体" w:hint="eastAsia"/>
                <w:color w:val="000000"/>
                <w:kern w:val="0"/>
                <w:sz w:val="16"/>
                <w:szCs w:val="16"/>
                <w:lang/>
              </w:rPr>
              <w:lastRenderedPageBreak/>
              <w:t>基本情况</w:t>
            </w: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lastRenderedPageBreak/>
              <w:t>1.</w:t>
            </w:r>
            <w:r>
              <w:rPr>
                <w:rFonts w:ascii="宋体" w:hAnsi="宋体" w:cs="宋体" w:hint="eastAsia"/>
                <w:color w:val="000000"/>
                <w:kern w:val="0"/>
                <w:sz w:val="16"/>
                <w:szCs w:val="16"/>
                <w:lang/>
              </w:rPr>
              <w:t>项目年度目</w:t>
            </w:r>
            <w:r>
              <w:rPr>
                <w:rFonts w:ascii="宋体" w:hAnsi="宋体" w:cs="宋体" w:hint="eastAsia"/>
                <w:color w:val="000000"/>
                <w:kern w:val="0"/>
                <w:sz w:val="16"/>
                <w:szCs w:val="16"/>
                <w:lang/>
              </w:rPr>
              <w:lastRenderedPageBreak/>
              <w:t>标完成情况</w:t>
            </w: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lastRenderedPageBreak/>
              <w:t>项目年度目标</w:t>
            </w:r>
          </w:p>
        </w:tc>
        <w:tc>
          <w:tcPr>
            <w:tcW w:w="33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年度目标完成情况</w:t>
            </w:r>
          </w:p>
        </w:tc>
      </w:tr>
      <w:tr w:rsidR="00D56551">
        <w:trPr>
          <w:trHeight w:val="1147"/>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实施农村订单定向医学生免费培养，深化医改、加强全科医生队伍建设，提升农村基层医疗卫生队伍整体素质和水平，推动城乡区域协调发展、保障和改善民生。</w:t>
            </w:r>
          </w:p>
        </w:tc>
        <w:tc>
          <w:tcPr>
            <w:tcW w:w="33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实施农村订单定向医学生免费培养，深化医改、加强全科医生队伍建设，提升农村基层医疗卫生队伍整体素质和水平，推动城乡区域协调发展、保障和改善民生。</w:t>
            </w:r>
          </w:p>
        </w:tc>
      </w:tr>
      <w:tr w:rsidR="00D56551">
        <w:trPr>
          <w:trHeight w:val="863"/>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2.</w:t>
            </w:r>
            <w:r>
              <w:rPr>
                <w:rFonts w:ascii="宋体" w:hAnsi="宋体" w:cs="宋体" w:hint="eastAsia"/>
                <w:color w:val="000000"/>
                <w:kern w:val="0"/>
                <w:sz w:val="16"/>
                <w:szCs w:val="16"/>
                <w:lang/>
              </w:rPr>
              <w:t>项目实施内容及过程概述</w:t>
            </w:r>
          </w:p>
        </w:tc>
        <w:tc>
          <w:tcPr>
            <w:tcW w:w="779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根据《四川省</w:t>
            </w:r>
            <w:r>
              <w:rPr>
                <w:rFonts w:ascii="宋体" w:hAnsi="宋体" w:cs="宋体" w:hint="eastAsia"/>
                <w:color w:val="000000"/>
                <w:kern w:val="0"/>
                <w:sz w:val="16"/>
                <w:szCs w:val="16"/>
                <w:lang/>
              </w:rPr>
              <w:t>2021</w:t>
            </w:r>
            <w:r>
              <w:rPr>
                <w:rFonts w:ascii="宋体" w:hAnsi="宋体" w:cs="宋体" w:hint="eastAsia"/>
                <w:color w:val="000000"/>
                <w:kern w:val="0"/>
                <w:sz w:val="16"/>
                <w:szCs w:val="16"/>
                <w:lang/>
              </w:rPr>
              <w:t>年免费医学生（专科）定向培养和乡村医生定向委培经费管理方案》文件相关规定，实施农村订单定向医学生免费培养，深化医改、加强全科医生队伍建设，提升农村基层医疗卫生队伍整体素质和水平，推动城乡区域协调发展、保障和改善民生。</w:t>
            </w:r>
          </w:p>
        </w:tc>
      </w:tr>
      <w:tr w:rsidR="00D56551">
        <w:trPr>
          <w:trHeight w:val="578"/>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预算执行情况（</w:t>
            </w:r>
            <w:r>
              <w:rPr>
                <w:rFonts w:ascii="宋体" w:hAnsi="宋体" w:cs="宋体" w:hint="eastAsia"/>
                <w:color w:val="000000"/>
                <w:kern w:val="0"/>
                <w:sz w:val="16"/>
                <w:szCs w:val="16"/>
                <w:lang/>
              </w:rPr>
              <w:t>10</w:t>
            </w:r>
            <w:r>
              <w:rPr>
                <w:rFonts w:ascii="宋体" w:hAnsi="宋体" w:cs="宋体" w:hint="eastAsia"/>
                <w:color w:val="000000"/>
                <w:kern w:val="0"/>
                <w:sz w:val="16"/>
                <w:szCs w:val="16"/>
                <w:lang/>
              </w:rPr>
              <w:t>分）</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年度预算数（万元）</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年初预算</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调整后预算数</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预算执行数</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预算执行率</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得分</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原因</w:t>
            </w:r>
          </w:p>
        </w:tc>
      </w:tr>
      <w:tr w:rsidR="00D56551">
        <w:trPr>
          <w:trHeight w:val="339"/>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总额</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275.20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275.20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275.20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16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74"/>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其中：财政资金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275.20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275.20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275.20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财政专户管理资金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50"/>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单位资金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32"/>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其他资金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1147"/>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绩效指标（</w:t>
            </w:r>
            <w:r>
              <w:rPr>
                <w:rFonts w:ascii="宋体" w:hAnsi="宋体" w:cs="宋体" w:hint="eastAsia"/>
                <w:color w:val="000000"/>
                <w:kern w:val="0"/>
                <w:sz w:val="16"/>
                <w:szCs w:val="16"/>
                <w:lang/>
              </w:rPr>
              <w:t>90</w:t>
            </w:r>
            <w:r>
              <w:rPr>
                <w:rFonts w:ascii="宋体" w:hAnsi="宋体" w:cs="宋体" w:hint="eastAsia"/>
                <w:color w:val="000000"/>
                <w:kern w:val="0"/>
                <w:sz w:val="16"/>
                <w:szCs w:val="16"/>
                <w:lang/>
              </w:rPr>
              <w:t>分）</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一级指标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二级指标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三级指标</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指标性质</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指标值</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度量单位</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完成值</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得分</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未完成原因分析</w:t>
            </w:r>
          </w:p>
        </w:tc>
      </w:tr>
      <w:tr w:rsidR="00D56551">
        <w:trPr>
          <w:trHeight w:val="1147"/>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产出指标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数量指标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落实好免费医学生培养经费，改革免费本科医学生人才培养模式。</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275.2</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万元</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275.2</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50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50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1431"/>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效益指标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社会效益指标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提升农村基层医疗卫生队伍整体素质和水平，推动建立分级诊疗制度，以实现乡村振兴。</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定性</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好坏</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好</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满意度指标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服务对象满意度指标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农村订单定向免费培养生满意</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90</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90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294"/>
        </w:trPr>
        <w:tc>
          <w:tcPr>
            <w:tcW w:w="707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合计</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评价结论</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自评总分</w:t>
            </w:r>
            <w:r>
              <w:rPr>
                <w:rFonts w:ascii="宋体" w:hAnsi="宋体" w:cs="宋体" w:hint="eastAsia"/>
                <w:i/>
                <w:iCs/>
                <w:color w:val="000000"/>
                <w:kern w:val="0"/>
                <w:sz w:val="16"/>
                <w:szCs w:val="16"/>
                <w:lang/>
              </w:rPr>
              <w:t>100</w:t>
            </w:r>
            <w:r>
              <w:rPr>
                <w:rFonts w:ascii="宋体" w:hAnsi="宋体" w:cs="宋体" w:hint="eastAsia"/>
                <w:i/>
                <w:iCs/>
                <w:color w:val="000000"/>
                <w:kern w:val="0"/>
                <w:sz w:val="16"/>
                <w:szCs w:val="16"/>
                <w:lang/>
              </w:rPr>
              <w:t>分，实施农村订单定向医学生免费培养，深化医改、加强全科医生队伍建设，提升农村基层医疗卫生队伍整体素质和水平，推动城乡区域协调发展、保障和改善民生。</w:t>
            </w: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存在问题</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无</w:t>
            </w: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改进措施</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无</w:t>
            </w:r>
          </w:p>
        </w:tc>
      </w:tr>
      <w:tr w:rsidR="00D56551">
        <w:trPr>
          <w:trHeight w:val="294"/>
        </w:trPr>
        <w:tc>
          <w:tcPr>
            <w:tcW w:w="482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项目负责人：王帅亭子</w:t>
            </w:r>
          </w:p>
        </w:tc>
        <w:tc>
          <w:tcPr>
            <w:tcW w:w="479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财务负责人：李小华</w:t>
            </w:r>
          </w:p>
        </w:tc>
      </w:tr>
      <w:tr w:rsidR="00D56551">
        <w:trPr>
          <w:trHeight w:val="294"/>
        </w:trPr>
        <w:tc>
          <w:tcPr>
            <w:tcW w:w="640"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18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074"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502"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22"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7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01"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7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5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56" w:type="dxa"/>
            <w:tcBorders>
              <w:top w:val="nil"/>
              <w:left w:val="nil"/>
              <w:bottom w:val="nil"/>
              <w:right w:val="nil"/>
            </w:tcBorders>
            <w:shd w:val="clear" w:color="auto" w:fill="auto"/>
            <w:vAlign w:val="center"/>
          </w:tcPr>
          <w:p w:rsidR="00D56551" w:rsidRDefault="00D56551">
            <w:pPr>
              <w:jc w:val="center"/>
              <w:rPr>
                <w:rFonts w:ascii="宋体" w:hAnsi="宋体" w:cs="宋体"/>
                <w:color w:val="000000"/>
                <w:sz w:val="16"/>
                <w:szCs w:val="16"/>
              </w:rPr>
            </w:pPr>
          </w:p>
        </w:tc>
        <w:tc>
          <w:tcPr>
            <w:tcW w:w="1631"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r>
      <w:tr w:rsidR="00D56551">
        <w:trPr>
          <w:trHeight w:val="754"/>
        </w:trPr>
        <w:tc>
          <w:tcPr>
            <w:tcW w:w="962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rPr>
              <w:t>部门预算项目支出绩效自评表（</w:t>
            </w:r>
            <w:r>
              <w:rPr>
                <w:rFonts w:ascii="宋体" w:hAnsi="宋体" w:cs="宋体" w:hint="eastAsia"/>
                <w:b/>
                <w:bCs/>
                <w:color w:val="000000"/>
                <w:kern w:val="0"/>
                <w:sz w:val="16"/>
                <w:szCs w:val="16"/>
                <w:lang/>
              </w:rPr>
              <w:t>2022</w:t>
            </w:r>
            <w:r>
              <w:rPr>
                <w:rFonts w:ascii="宋体" w:hAnsi="宋体" w:cs="宋体" w:hint="eastAsia"/>
                <w:b/>
                <w:bCs/>
                <w:color w:val="000000"/>
                <w:kern w:val="0"/>
                <w:sz w:val="16"/>
                <w:szCs w:val="16"/>
                <w:lang/>
              </w:rPr>
              <w:t>年度）</w:t>
            </w:r>
          </w:p>
        </w:tc>
      </w:tr>
      <w:tr w:rsidR="00D56551">
        <w:trPr>
          <w:trHeight w:val="294"/>
        </w:trPr>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项目名称</w:t>
            </w:r>
          </w:p>
        </w:tc>
        <w:tc>
          <w:tcPr>
            <w:tcW w:w="779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51000022T000005039680-</w:t>
            </w:r>
            <w:r>
              <w:rPr>
                <w:rFonts w:ascii="宋体" w:hAnsi="宋体" w:cs="宋体" w:hint="eastAsia"/>
                <w:color w:val="000000"/>
                <w:kern w:val="0"/>
                <w:sz w:val="16"/>
                <w:szCs w:val="16"/>
                <w:lang/>
              </w:rPr>
              <w:t>基本公共卫生服务经费</w:t>
            </w:r>
            <w:r>
              <w:rPr>
                <w:rFonts w:ascii="宋体" w:hAnsi="宋体" w:cs="宋体" w:hint="eastAsia"/>
                <w:color w:val="000000"/>
                <w:kern w:val="0"/>
                <w:sz w:val="16"/>
                <w:szCs w:val="16"/>
                <w:lang/>
              </w:rPr>
              <w:t>-</w:t>
            </w:r>
            <w:r>
              <w:rPr>
                <w:rFonts w:ascii="宋体" w:hAnsi="宋体" w:cs="宋体" w:hint="eastAsia"/>
                <w:color w:val="000000"/>
                <w:kern w:val="0"/>
                <w:sz w:val="16"/>
                <w:szCs w:val="16"/>
                <w:lang/>
              </w:rPr>
              <w:t>川北医学院</w:t>
            </w:r>
          </w:p>
        </w:tc>
      </w:tr>
      <w:tr w:rsidR="00D56551">
        <w:trPr>
          <w:trHeight w:val="863"/>
        </w:trPr>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lastRenderedPageBreak/>
              <w:t>主管部门</w:t>
            </w: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四川省教育厅部门</w:t>
            </w:r>
          </w:p>
        </w:tc>
        <w:tc>
          <w:tcPr>
            <w:tcW w:w="776" w:type="dxa"/>
            <w:tcBorders>
              <w:top w:val="nil"/>
              <w:left w:val="nil"/>
              <w:bottom w:val="nil"/>
              <w:right w:val="nil"/>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实施单位</w:t>
            </w:r>
            <w:r>
              <w:rPr>
                <w:rFonts w:ascii="宋体" w:hAnsi="宋体" w:cs="宋体" w:hint="eastAsia"/>
                <w:color w:val="000000"/>
                <w:kern w:val="0"/>
                <w:sz w:val="16"/>
                <w:szCs w:val="16"/>
                <w:lang/>
              </w:rPr>
              <w:t xml:space="preserve"> </w:t>
            </w:r>
            <w:r>
              <w:rPr>
                <w:rFonts w:ascii="宋体" w:hAnsi="宋体" w:cs="宋体" w:hint="eastAsia"/>
                <w:color w:val="000000"/>
                <w:kern w:val="0"/>
                <w:sz w:val="16"/>
                <w:szCs w:val="16"/>
                <w:lang/>
              </w:rPr>
              <w:t>（盖章）</w:t>
            </w:r>
          </w:p>
        </w:tc>
        <w:tc>
          <w:tcPr>
            <w:tcW w:w="25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川北医学院</w:t>
            </w:r>
          </w:p>
        </w:tc>
      </w:tr>
      <w:tr w:rsidR="00D56551">
        <w:trPr>
          <w:trHeight w:val="294"/>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项目基本情况</w:t>
            </w: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1.</w:t>
            </w:r>
            <w:r>
              <w:rPr>
                <w:rFonts w:ascii="宋体" w:hAnsi="宋体" w:cs="宋体" w:hint="eastAsia"/>
                <w:color w:val="000000"/>
                <w:kern w:val="0"/>
                <w:sz w:val="16"/>
                <w:szCs w:val="16"/>
                <w:lang/>
              </w:rPr>
              <w:t>项目年度目标完成情况</w:t>
            </w: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项目年度目标</w:t>
            </w:r>
          </w:p>
        </w:tc>
        <w:tc>
          <w:tcPr>
            <w:tcW w:w="33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年度目标完成情况</w:t>
            </w:r>
          </w:p>
        </w:tc>
      </w:tr>
      <w:tr w:rsidR="00D56551">
        <w:trPr>
          <w:trHeight w:val="1147"/>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提升医疗科研水平，加强重点疾病、重点领域和重点人群的健康教育，健康促进医院和戒烟门诊建设，提高传染病及突发公共卫生事件报告和处理服务。</w:t>
            </w:r>
          </w:p>
        </w:tc>
        <w:tc>
          <w:tcPr>
            <w:tcW w:w="33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提升医疗科研水平，加强重点疾病、重点领域和重点人群的健康教育，健康促进医院和戒烟门诊建设，提高传染病及突发公共卫生事件报告和处理服务。</w:t>
            </w:r>
          </w:p>
        </w:tc>
      </w:tr>
      <w:tr w:rsidR="00D56551">
        <w:trPr>
          <w:trHeight w:val="585"/>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2.</w:t>
            </w:r>
            <w:r>
              <w:rPr>
                <w:rFonts w:ascii="宋体" w:hAnsi="宋体" w:cs="宋体" w:hint="eastAsia"/>
                <w:color w:val="000000"/>
                <w:kern w:val="0"/>
                <w:sz w:val="16"/>
                <w:szCs w:val="16"/>
                <w:lang/>
              </w:rPr>
              <w:t>项目实施内容及过程概述</w:t>
            </w:r>
          </w:p>
        </w:tc>
        <w:tc>
          <w:tcPr>
            <w:tcW w:w="779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开展培训，对加强重点疾病、重点领域和重点人群的健康教育，健康促进医院和戒烟门诊建设，提高传染病及突发公共卫生事件报告和处理服务。</w:t>
            </w:r>
          </w:p>
        </w:tc>
      </w:tr>
      <w:tr w:rsidR="00D56551">
        <w:trPr>
          <w:trHeight w:val="578"/>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预算执行情况（</w:t>
            </w:r>
            <w:r>
              <w:rPr>
                <w:rFonts w:ascii="宋体" w:hAnsi="宋体" w:cs="宋体" w:hint="eastAsia"/>
                <w:color w:val="000000"/>
                <w:kern w:val="0"/>
                <w:sz w:val="16"/>
                <w:szCs w:val="16"/>
                <w:lang/>
              </w:rPr>
              <w:t>10</w:t>
            </w:r>
            <w:r>
              <w:rPr>
                <w:rFonts w:ascii="宋体" w:hAnsi="宋体" w:cs="宋体" w:hint="eastAsia"/>
                <w:color w:val="000000"/>
                <w:kern w:val="0"/>
                <w:sz w:val="16"/>
                <w:szCs w:val="16"/>
                <w:lang/>
              </w:rPr>
              <w:t>分）</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年度预算数（万元）</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年初预算</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调整后预算数</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预算执行数</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预算执行率</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得分</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原因</w:t>
            </w:r>
          </w:p>
        </w:tc>
      </w:tr>
      <w:tr w:rsidR="00D56551">
        <w:trPr>
          <w:trHeight w:val="339"/>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总额</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29.00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96.67%</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16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74"/>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其中：财政资金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29.00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96.67%</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547"/>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财政专户管理资金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50"/>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单位资金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32"/>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其他资金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1147"/>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绩效指标（</w:t>
            </w:r>
            <w:r>
              <w:rPr>
                <w:rFonts w:ascii="宋体" w:hAnsi="宋体" w:cs="宋体" w:hint="eastAsia"/>
                <w:color w:val="000000"/>
                <w:kern w:val="0"/>
                <w:sz w:val="16"/>
                <w:szCs w:val="16"/>
                <w:lang/>
              </w:rPr>
              <w:t>90</w:t>
            </w:r>
            <w:r>
              <w:rPr>
                <w:rFonts w:ascii="宋体" w:hAnsi="宋体" w:cs="宋体" w:hint="eastAsia"/>
                <w:color w:val="000000"/>
                <w:kern w:val="0"/>
                <w:sz w:val="16"/>
                <w:szCs w:val="16"/>
                <w:lang/>
              </w:rPr>
              <w:t>分）</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一级指标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二级指标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三级指标</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指标性质</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指标值</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度量单位</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完成值</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得分</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未完成原因分析</w:t>
            </w:r>
          </w:p>
        </w:tc>
      </w:tr>
      <w:tr w:rsidR="00D56551">
        <w:trPr>
          <w:trHeight w:val="863"/>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产出指标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数量指标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2022</w:t>
            </w:r>
            <w:r>
              <w:rPr>
                <w:rFonts w:ascii="宋体" w:hAnsi="宋体" w:cs="宋体" w:hint="eastAsia"/>
                <w:color w:val="000000"/>
                <w:kern w:val="0"/>
                <w:sz w:val="16"/>
                <w:szCs w:val="16"/>
                <w:lang/>
              </w:rPr>
              <w:t>年完成经费使用，提升财政资金效益。</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万元</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50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50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863"/>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效益指标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社会效益指标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提高传染病及突发公共卫生事件报告和处理服务，服务地区。</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定性</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优良中低差</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优</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863"/>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满意度指标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服务对象满意度指标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对重点疾病、重点领域和重点人群的健康教育，提升人群素养。</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90</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90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294"/>
        </w:trPr>
        <w:tc>
          <w:tcPr>
            <w:tcW w:w="707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合计</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评价结论</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自评总分</w:t>
            </w:r>
            <w:r>
              <w:rPr>
                <w:rFonts w:ascii="宋体" w:hAnsi="宋体" w:cs="宋体" w:hint="eastAsia"/>
                <w:i/>
                <w:iCs/>
                <w:color w:val="000000"/>
                <w:kern w:val="0"/>
                <w:sz w:val="16"/>
                <w:szCs w:val="16"/>
                <w:lang/>
              </w:rPr>
              <w:t>100</w:t>
            </w:r>
            <w:r>
              <w:rPr>
                <w:rFonts w:ascii="宋体" w:hAnsi="宋体" w:cs="宋体" w:hint="eastAsia"/>
                <w:i/>
                <w:iCs/>
                <w:color w:val="000000"/>
                <w:kern w:val="0"/>
                <w:sz w:val="16"/>
                <w:szCs w:val="16"/>
                <w:lang/>
              </w:rPr>
              <w:t>分，加强了重点疾病、重点领域和重点人群的健康教育，健康促进医院和戒烟门诊建设，提高传染病及突发公共卫生事件报告和处理服务。</w:t>
            </w: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存在问题</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无</w:t>
            </w: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改进措施</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无</w:t>
            </w:r>
          </w:p>
        </w:tc>
      </w:tr>
      <w:tr w:rsidR="00D56551">
        <w:trPr>
          <w:trHeight w:val="294"/>
        </w:trPr>
        <w:tc>
          <w:tcPr>
            <w:tcW w:w="482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项目负责人：柯雄</w:t>
            </w:r>
          </w:p>
        </w:tc>
        <w:tc>
          <w:tcPr>
            <w:tcW w:w="479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财务负责人：李小华</w:t>
            </w:r>
          </w:p>
        </w:tc>
      </w:tr>
      <w:tr w:rsidR="00D56551">
        <w:trPr>
          <w:trHeight w:val="294"/>
        </w:trPr>
        <w:tc>
          <w:tcPr>
            <w:tcW w:w="640"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18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074"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502"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22"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7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01"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7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5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56" w:type="dxa"/>
            <w:tcBorders>
              <w:top w:val="nil"/>
              <w:left w:val="nil"/>
              <w:bottom w:val="nil"/>
              <w:right w:val="nil"/>
            </w:tcBorders>
            <w:shd w:val="clear" w:color="auto" w:fill="auto"/>
            <w:vAlign w:val="center"/>
          </w:tcPr>
          <w:p w:rsidR="00D56551" w:rsidRDefault="00D56551">
            <w:pPr>
              <w:jc w:val="center"/>
              <w:rPr>
                <w:rFonts w:ascii="宋体" w:hAnsi="宋体" w:cs="宋体"/>
                <w:color w:val="000000"/>
                <w:sz w:val="16"/>
                <w:szCs w:val="16"/>
              </w:rPr>
            </w:pPr>
          </w:p>
        </w:tc>
        <w:tc>
          <w:tcPr>
            <w:tcW w:w="1631"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r>
      <w:tr w:rsidR="00D56551">
        <w:trPr>
          <w:trHeight w:val="754"/>
        </w:trPr>
        <w:tc>
          <w:tcPr>
            <w:tcW w:w="962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rPr>
              <w:lastRenderedPageBreak/>
              <w:t>部门预算项目支出绩效自评表（</w:t>
            </w:r>
            <w:r>
              <w:rPr>
                <w:rFonts w:ascii="宋体" w:hAnsi="宋体" w:cs="宋体" w:hint="eastAsia"/>
                <w:b/>
                <w:bCs/>
                <w:color w:val="000000"/>
                <w:kern w:val="0"/>
                <w:sz w:val="16"/>
                <w:szCs w:val="16"/>
                <w:lang/>
              </w:rPr>
              <w:t>2022</w:t>
            </w:r>
            <w:r>
              <w:rPr>
                <w:rFonts w:ascii="宋体" w:hAnsi="宋体" w:cs="宋体" w:hint="eastAsia"/>
                <w:b/>
                <w:bCs/>
                <w:color w:val="000000"/>
                <w:kern w:val="0"/>
                <w:sz w:val="16"/>
                <w:szCs w:val="16"/>
                <w:lang/>
              </w:rPr>
              <w:t>年度）</w:t>
            </w:r>
          </w:p>
        </w:tc>
      </w:tr>
      <w:tr w:rsidR="00D56551">
        <w:trPr>
          <w:trHeight w:val="294"/>
        </w:trPr>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项目名称</w:t>
            </w:r>
          </w:p>
        </w:tc>
        <w:tc>
          <w:tcPr>
            <w:tcW w:w="779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51000022T000006419198-</w:t>
            </w:r>
            <w:r>
              <w:rPr>
                <w:rFonts w:ascii="宋体" w:hAnsi="宋体" w:cs="宋体" w:hint="eastAsia"/>
                <w:color w:val="000000"/>
                <w:kern w:val="0"/>
                <w:sz w:val="16"/>
                <w:szCs w:val="16"/>
                <w:lang/>
              </w:rPr>
              <w:t>医疗服务与保障能力提升</w:t>
            </w:r>
          </w:p>
        </w:tc>
      </w:tr>
      <w:tr w:rsidR="00D56551">
        <w:trPr>
          <w:trHeight w:val="863"/>
        </w:trPr>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主管部门</w:t>
            </w: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四川省教育厅部门</w:t>
            </w:r>
          </w:p>
        </w:tc>
        <w:tc>
          <w:tcPr>
            <w:tcW w:w="776" w:type="dxa"/>
            <w:tcBorders>
              <w:top w:val="nil"/>
              <w:left w:val="nil"/>
              <w:bottom w:val="nil"/>
              <w:right w:val="nil"/>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实施单位</w:t>
            </w:r>
            <w:r>
              <w:rPr>
                <w:rFonts w:ascii="宋体" w:hAnsi="宋体" w:cs="宋体" w:hint="eastAsia"/>
                <w:color w:val="000000"/>
                <w:kern w:val="0"/>
                <w:sz w:val="16"/>
                <w:szCs w:val="16"/>
                <w:lang/>
              </w:rPr>
              <w:t xml:space="preserve"> </w:t>
            </w:r>
            <w:r>
              <w:rPr>
                <w:rFonts w:ascii="宋体" w:hAnsi="宋体" w:cs="宋体" w:hint="eastAsia"/>
                <w:color w:val="000000"/>
                <w:kern w:val="0"/>
                <w:sz w:val="16"/>
                <w:szCs w:val="16"/>
                <w:lang/>
              </w:rPr>
              <w:t>（盖章）</w:t>
            </w:r>
          </w:p>
        </w:tc>
        <w:tc>
          <w:tcPr>
            <w:tcW w:w="25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川北医学院</w:t>
            </w:r>
          </w:p>
        </w:tc>
      </w:tr>
      <w:tr w:rsidR="00D56551">
        <w:trPr>
          <w:trHeight w:val="294"/>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项目基本情况</w:t>
            </w: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1.</w:t>
            </w:r>
            <w:r>
              <w:rPr>
                <w:rFonts w:ascii="宋体" w:hAnsi="宋体" w:cs="宋体" w:hint="eastAsia"/>
                <w:color w:val="000000"/>
                <w:kern w:val="0"/>
                <w:sz w:val="16"/>
                <w:szCs w:val="16"/>
                <w:lang/>
              </w:rPr>
              <w:t>项目年度目标完成情况</w:t>
            </w: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项目年度目标</w:t>
            </w:r>
          </w:p>
        </w:tc>
        <w:tc>
          <w:tcPr>
            <w:tcW w:w="33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年度目标完成情况</w:t>
            </w:r>
          </w:p>
        </w:tc>
      </w:tr>
      <w:tr w:rsidR="00D56551">
        <w:trPr>
          <w:trHeight w:val="1147"/>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2022</w:t>
            </w:r>
            <w:r>
              <w:rPr>
                <w:rFonts w:ascii="宋体" w:hAnsi="宋体" w:cs="宋体" w:hint="eastAsia"/>
                <w:color w:val="000000"/>
                <w:kern w:val="0"/>
                <w:sz w:val="16"/>
                <w:szCs w:val="16"/>
                <w:lang/>
              </w:rPr>
              <w:t>年农村订单定向学生补助，进一步加强全科医学人才队伍建设，提升农村基层医疗卫生队伍整体素质和水平，促进城乡区域医疗卫生事业协调发展。</w:t>
            </w:r>
          </w:p>
        </w:tc>
        <w:tc>
          <w:tcPr>
            <w:tcW w:w="33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2022</w:t>
            </w:r>
            <w:r>
              <w:rPr>
                <w:rFonts w:ascii="宋体" w:hAnsi="宋体" w:cs="宋体" w:hint="eastAsia"/>
                <w:color w:val="000000"/>
                <w:kern w:val="0"/>
                <w:sz w:val="16"/>
                <w:szCs w:val="16"/>
                <w:lang/>
              </w:rPr>
              <w:t>年农村订单定向学生补助，进一步加强全科医学人才队伍建设，提升农村基层医疗卫生队伍整体素质和水平，促进城乡区域医疗卫生事业协调发展。</w:t>
            </w:r>
          </w:p>
        </w:tc>
      </w:tr>
      <w:tr w:rsidR="00D56551">
        <w:trPr>
          <w:trHeight w:val="585"/>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2.</w:t>
            </w:r>
            <w:r>
              <w:rPr>
                <w:rFonts w:ascii="宋体" w:hAnsi="宋体" w:cs="宋体" w:hint="eastAsia"/>
                <w:color w:val="000000"/>
                <w:kern w:val="0"/>
                <w:sz w:val="16"/>
                <w:szCs w:val="16"/>
                <w:lang/>
              </w:rPr>
              <w:t>项目实施内容及过程概述</w:t>
            </w:r>
          </w:p>
        </w:tc>
        <w:tc>
          <w:tcPr>
            <w:tcW w:w="779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对</w:t>
            </w:r>
            <w:r>
              <w:rPr>
                <w:rFonts w:ascii="宋体" w:hAnsi="宋体" w:cs="宋体" w:hint="eastAsia"/>
                <w:color w:val="000000"/>
                <w:kern w:val="0"/>
                <w:sz w:val="16"/>
                <w:szCs w:val="16"/>
                <w:lang/>
              </w:rPr>
              <w:t>2022</w:t>
            </w:r>
            <w:r>
              <w:rPr>
                <w:rFonts w:ascii="宋体" w:hAnsi="宋体" w:cs="宋体" w:hint="eastAsia"/>
                <w:color w:val="000000"/>
                <w:kern w:val="0"/>
                <w:sz w:val="16"/>
                <w:szCs w:val="16"/>
                <w:lang/>
              </w:rPr>
              <w:t>年农村订单定向学生补助，进一步加强全科医学人才队伍建设，提升农村基层医疗卫生队伍整体素质和水平，促进城乡区域医疗卫生事业协调发展。</w:t>
            </w:r>
          </w:p>
        </w:tc>
      </w:tr>
      <w:tr w:rsidR="00D56551">
        <w:trPr>
          <w:trHeight w:val="578"/>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预算执行情况（</w:t>
            </w:r>
            <w:r>
              <w:rPr>
                <w:rFonts w:ascii="宋体" w:hAnsi="宋体" w:cs="宋体" w:hint="eastAsia"/>
                <w:color w:val="000000"/>
                <w:kern w:val="0"/>
                <w:sz w:val="16"/>
                <w:szCs w:val="16"/>
                <w:lang/>
              </w:rPr>
              <w:t>10</w:t>
            </w:r>
            <w:r>
              <w:rPr>
                <w:rFonts w:ascii="宋体" w:hAnsi="宋体" w:cs="宋体" w:hint="eastAsia"/>
                <w:color w:val="000000"/>
                <w:kern w:val="0"/>
                <w:sz w:val="16"/>
                <w:szCs w:val="16"/>
                <w:lang/>
              </w:rPr>
              <w:t>分）</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年度预算数（万元）</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年初预算</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调整后预算数</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预算执行数</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预算执行率</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得分</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原因</w:t>
            </w:r>
          </w:p>
        </w:tc>
      </w:tr>
      <w:tr w:rsidR="00D56551">
        <w:trPr>
          <w:trHeight w:val="339"/>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总额</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103.20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103.20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16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74"/>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其中：财政资金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103.20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103.20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财政专户管理资金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50"/>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单位资金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32"/>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其他资金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1147"/>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绩效指标（</w:t>
            </w:r>
            <w:r>
              <w:rPr>
                <w:rFonts w:ascii="宋体" w:hAnsi="宋体" w:cs="宋体" w:hint="eastAsia"/>
                <w:color w:val="000000"/>
                <w:kern w:val="0"/>
                <w:sz w:val="16"/>
                <w:szCs w:val="16"/>
                <w:lang/>
              </w:rPr>
              <w:t>90</w:t>
            </w:r>
            <w:r>
              <w:rPr>
                <w:rFonts w:ascii="宋体" w:hAnsi="宋体" w:cs="宋体" w:hint="eastAsia"/>
                <w:color w:val="000000"/>
                <w:kern w:val="0"/>
                <w:sz w:val="16"/>
                <w:szCs w:val="16"/>
                <w:lang/>
              </w:rPr>
              <w:t>分）</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一级指标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二级指标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三级指标</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指标性质</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指标值</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度量单位</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完成值</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得分</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未完成原因分析</w:t>
            </w: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产出指标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数量指标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103.2</w:t>
            </w:r>
            <w:r>
              <w:rPr>
                <w:rFonts w:ascii="宋体" w:hAnsi="宋体" w:cs="宋体" w:hint="eastAsia"/>
                <w:color w:val="000000"/>
                <w:kern w:val="0"/>
                <w:sz w:val="16"/>
                <w:szCs w:val="16"/>
                <w:lang/>
              </w:rPr>
              <w:t>万元用于补助农村订单定向学生。</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103.2</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万元</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103.2</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299"/>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时效指标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2022</w:t>
            </w:r>
            <w:r>
              <w:rPr>
                <w:rFonts w:ascii="宋体" w:hAnsi="宋体" w:cs="宋体" w:hint="eastAsia"/>
                <w:color w:val="000000"/>
                <w:kern w:val="0"/>
                <w:sz w:val="16"/>
                <w:szCs w:val="16"/>
                <w:lang/>
              </w:rPr>
              <w:t>年</w:t>
            </w:r>
            <w:r>
              <w:rPr>
                <w:rFonts w:ascii="宋体" w:hAnsi="宋体" w:cs="宋体" w:hint="eastAsia"/>
                <w:color w:val="000000"/>
                <w:kern w:val="0"/>
                <w:sz w:val="16"/>
                <w:szCs w:val="16"/>
                <w:lang/>
              </w:rPr>
              <w:t>12</w:t>
            </w:r>
            <w:r>
              <w:rPr>
                <w:rFonts w:ascii="宋体" w:hAnsi="宋体" w:cs="宋体" w:hint="eastAsia"/>
                <w:color w:val="000000"/>
                <w:kern w:val="0"/>
                <w:sz w:val="16"/>
                <w:szCs w:val="16"/>
                <w:lang/>
              </w:rPr>
              <w:t>月</w:t>
            </w:r>
            <w:r>
              <w:rPr>
                <w:rFonts w:ascii="宋体" w:hAnsi="宋体" w:cs="宋体" w:hint="eastAsia"/>
                <w:color w:val="000000"/>
                <w:kern w:val="0"/>
                <w:sz w:val="16"/>
                <w:szCs w:val="16"/>
                <w:lang/>
              </w:rPr>
              <w:t>31</w:t>
            </w:r>
            <w:r>
              <w:rPr>
                <w:rFonts w:ascii="宋体" w:hAnsi="宋体" w:cs="宋体" w:hint="eastAsia"/>
                <w:color w:val="000000"/>
                <w:kern w:val="0"/>
                <w:sz w:val="16"/>
                <w:szCs w:val="16"/>
                <w:lang/>
              </w:rPr>
              <w:t>日前</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2022</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2022</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效益指标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社会效益指标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进一步加强全科医学人才队伍建设。</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定性</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优良中低差</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优</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满意度指标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帮扶对象满意度指标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农村订单定向学生满意度</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90</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90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294"/>
        </w:trPr>
        <w:tc>
          <w:tcPr>
            <w:tcW w:w="707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合计</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评价结论</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自评总分</w:t>
            </w:r>
            <w:r>
              <w:rPr>
                <w:rFonts w:ascii="宋体" w:hAnsi="宋体" w:cs="宋体" w:hint="eastAsia"/>
                <w:i/>
                <w:iCs/>
                <w:color w:val="000000"/>
                <w:kern w:val="0"/>
                <w:sz w:val="16"/>
                <w:szCs w:val="16"/>
                <w:lang/>
              </w:rPr>
              <w:t>100</w:t>
            </w:r>
            <w:r>
              <w:rPr>
                <w:rFonts w:ascii="宋体" w:hAnsi="宋体" w:cs="宋体" w:hint="eastAsia"/>
                <w:i/>
                <w:iCs/>
                <w:color w:val="000000"/>
                <w:kern w:val="0"/>
                <w:sz w:val="16"/>
                <w:szCs w:val="16"/>
                <w:lang/>
              </w:rPr>
              <w:t>分，对</w:t>
            </w:r>
            <w:r>
              <w:rPr>
                <w:rFonts w:ascii="宋体" w:hAnsi="宋体" w:cs="宋体" w:hint="eastAsia"/>
                <w:i/>
                <w:iCs/>
                <w:color w:val="000000"/>
                <w:kern w:val="0"/>
                <w:sz w:val="16"/>
                <w:szCs w:val="16"/>
                <w:lang/>
              </w:rPr>
              <w:t>2022</w:t>
            </w:r>
            <w:r>
              <w:rPr>
                <w:rFonts w:ascii="宋体" w:hAnsi="宋体" w:cs="宋体" w:hint="eastAsia"/>
                <w:i/>
                <w:iCs/>
                <w:color w:val="000000"/>
                <w:kern w:val="0"/>
                <w:sz w:val="16"/>
                <w:szCs w:val="16"/>
                <w:lang/>
              </w:rPr>
              <w:t>年农村订单定向学生补助，进一步加强全科医学人才队伍建设，提升农村基层医疗卫生队伍整体素质和水平，促进城乡区域医疗卫生事业协调发展。</w:t>
            </w: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存在问题</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无</w:t>
            </w: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改进措施</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无</w:t>
            </w:r>
          </w:p>
        </w:tc>
      </w:tr>
      <w:tr w:rsidR="00D56551">
        <w:trPr>
          <w:trHeight w:val="294"/>
        </w:trPr>
        <w:tc>
          <w:tcPr>
            <w:tcW w:w="482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项目负责人：王帅亭子</w:t>
            </w:r>
          </w:p>
        </w:tc>
        <w:tc>
          <w:tcPr>
            <w:tcW w:w="479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财务负责人：李小华</w:t>
            </w:r>
          </w:p>
        </w:tc>
      </w:tr>
      <w:tr w:rsidR="00D56551">
        <w:trPr>
          <w:trHeight w:val="294"/>
        </w:trPr>
        <w:tc>
          <w:tcPr>
            <w:tcW w:w="640"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18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074"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1502"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22"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7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01"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77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56"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c>
          <w:tcPr>
            <w:tcW w:w="456" w:type="dxa"/>
            <w:tcBorders>
              <w:top w:val="nil"/>
              <w:left w:val="nil"/>
              <w:bottom w:val="nil"/>
              <w:right w:val="nil"/>
            </w:tcBorders>
            <w:shd w:val="clear" w:color="auto" w:fill="auto"/>
            <w:vAlign w:val="center"/>
          </w:tcPr>
          <w:p w:rsidR="00D56551" w:rsidRDefault="00D56551">
            <w:pPr>
              <w:jc w:val="center"/>
              <w:rPr>
                <w:rFonts w:ascii="宋体" w:hAnsi="宋体" w:cs="宋体"/>
                <w:color w:val="000000"/>
                <w:sz w:val="16"/>
                <w:szCs w:val="16"/>
              </w:rPr>
            </w:pPr>
          </w:p>
        </w:tc>
        <w:tc>
          <w:tcPr>
            <w:tcW w:w="1631" w:type="dxa"/>
            <w:tcBorders>
              <w:top w:val="nil"/>
              <w:left w:val="nil"/>
              <w:bottom w:val="nil"/>
              <w:right w:val="nil"/>
            </w:tcBorders>
            <w:shd w:val="clear" w:color="auto" w:fill="auto"/>
            <w:vAlign w:val="center"/>
          </w:tcPr>
          <w:p w:rsidR="00D56551" w:rsidRDefault="00D56551">
            <w:pPr>
              <w:rPr>
                <w:rFonts w:ascii="宋体" w:hAnsi="宋体" w:cs="宋体"/>
                <w:color w:val="000000"/>
                <w:sz w:val="16"/>
                <w:szCs w:val="16"/>
              </w:rPr>
            </w:pPr>
          </w:p>
        </w:tc>
      </w:tr>
      <w:tr w:rsidR="00D56551">
        <w:trPr>
          <w:trHeight w:val="754"/>
        </w:trPr>
        <w:tc>
          <w:tcPr>
            <w:tcW w:w="962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rPr>
              <w:t>部门预算项目支出绩效自评表（</w:t>
            </w:r>
            <w:r>
              <w:rPr>
                <w:rFonts w:ascii="宋体" w:hAnsi="宋体" w:cs="宋体" w:hint="eastAsia"/>
                <w:b/>
                <w:bCs/>
                <w:color w:val="000000"/>
                <w:kern w:val="0"/>
                <w:sz w:val="16"/>
                <w:szCs w:val="16"/>
                <w:lang/>
              </w:rPr>
              <w:t>2022</w:t>
            </w:r>
            <w:r>
              <w:rPr>
                <w:rFonts w:ascii="宋体" w:hAnsi="宋体" w:cs="宋体" w:hint="eastAsia"/>
                <w:b/>
                <w:bCs/>
                <w:color w:val="000000"/>
                <w:kern w:val="0"/>
                <w:sz w:val="16"/>
                <w:szCs w:val="16"/>
                <w:lang/>
              </w:rPr>
              <w:t>年度）</w:t>
            </w:r>
          </w:p>
        </w:tc>
      </w:tr>
      <w:tr w:rsidR="00D56551">
        <w:trPr>
          <w:trHeight w:val="294"/>
        </w:trPr>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项目名称</w:t>
            </w:r>
          </w:p>
        </w:tc>
        <w:tc>
          <w:tcPr>
            <w:tcW w:w="779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51000022T000006700268-</w:t>
            </w:r>
            <w:r>
              <w:rPr>
                <w:rFonts w:ascii="宋体" w:hAnsi="宋体" w:cs="宋体" w:hint="eastAsia"/>
                <w:color w:val="000000"/>
                <w:kern w:val="0"/>
                <w:sz w:val="16"/>
                <w:szCs w:val="16"/>
                <w:lang/>
              </w:rPr>
              <w:t>医疗服务与保障能力提升（中医药传承与发展部分）</w:t>
            </w:r>
          </w:p>
        </w:tc>
      </w:tr>
      <w:tr w:rsidR="00D56551">
        <w:trPr>
          <w:trHeight w:val="863"/>
        </w:trPr>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主管部门</w:t>
            </w: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四川省教育厅部门</w:t>
            </w:r>
          </w:p>
        </w:tc>
        <w:tc>
          <w:tcPr>
            <w:tcW w:w="776" w:type="dxa"/>
            <w:tcBorders>
              <w:top w:val="nil"/>
              <w:left w:val="nil"/>
              <w:bottom w:val="nil"/>
              <w:right w:val="nil"/>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实施单位</w:t>
            </w:r>
            <w:r>
              <w:rPr>
                <w:rFonts w:ascii="宋体" w:hAnsi="宋体" w:cs="宋体" w:hint="eastAsia"/>
                <w:color w:val="000000"/>
                <w:kern w:val="0"/>
                <w:sz w:val="16"/>
                <w:szCs w:val="16"/>
                <w:lang/>
              </w:rPr>
              <w:t xml:space="preserve"> </w:t>
            </w:r>
            <w:r>
              <w:rPr>
                <w:rFonts w:ascii="宋体" w:hAnsi="宋体" w:cs="宋体" w:hint="eastAsia"/>
                <w:color w:val="000000"/>
                <w:kern w:val="0"/>
                <w:sz w:val="16"/>
                <w:szCs w:val="16"/>
                <w:lang/>
              </w:rPr>
              <w:t>（盖章）</w:t>
            </w:r>
          </w:p>
        </w:tc>
        <w:tc>
          <w:tcPr>
            <w:tcW w:w="25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川北医学院</w:t>
            </w:r>
          </w:p>
        </w:tc>
      </w:tr>
      <w:tr w:rsidR="00D56551">
        <w:trPr>
          <w:trHeight w:val="294"/>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项目基本情况</w:t>
            </w: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1.</w:t>
            </w:r>
            <w:r>
              <w:rPr>
                <w:rFonts w:ascii="宋体" w:hAnsi="宋体" w:cs="宋体" w:hint="eastAsia"/>
                <w:color w:val="000000"/>
                <w:kern w:val="0"/>
                <w:sz w:val="16"/>
                <w:szCs w:val="16"/>
                <w:lang/>
              </w:rPr>
              <w:t>项目年度目标完成情况</w:t>
            </w: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项目年度目标</w:t>
            </w:r>
          </w:p>
        </w:tc>
        <w:tc>
          <w:tcPr>
            <w:tcW w:w="33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年度目标完成情况</w:t>
            </w:r>
          </w:p>
        </w:tc>
      </w:tr>
      <w:tr w:rsidR="00D56551">
        <w:trPr>
          <w:trHeight w:val="597"/>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44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33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完成项目年度目标。</w:t>
            </w:r>
          </w:p>
        </w:tc>
      </w:tr>
      <w:tr w:rsidR="00D56551">
        <w:trPr>
          <w:trHeight w:val="585"/>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2.</w:t>
            </w:r>
            <w:r>
              <w:rPr>
                <w:rFonts w:ascii="宋体" w:hAnsi="宋体" w:cs="宋体" w:hint="eastAsia"/>
                <w:color w:val="000000"/>
                <w:kern w:val="0"/>
                <w:sz w:val="16"/>
                <w:szCs w:val="16"/>
                <w:lang/>
              </w:rPr>
              <w:t>项目实施内容及过程概述</w:t>
            </w:r>
          </w:p>
        </w:tc>
        <w:tc>
          <w:tcPr>
            <w:tcW w:w="779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按项目计划执行。</w:t>
            </w:r>
          </w:p>
        </w:tc>
      </w:tr>
      <w:tr w:rsidR="00D56551">
        <w:trPr>
          <w:trHeight w:val="578"/>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预算执行情况（</w:t>
            </w:r>
            <w:r>
              <w:rPr>
                <w:rFonts w:ascii="宋体" w:hAnsi="宋体" w:cs="宋体" w:hint="eastAsia"/>
                <w:color w:val="000000"/>
                <w:kern w:val="0"/>
                <w:sz w:val="16"/>
                <w:szCs w:val="16"/>
                <w:lang/>
              </w:rPr>
              <w:t>10</w:t>
            </w:r>
            <w:r>
              <w:rPr>
                <w:rFonts w:ascii="宋体" w:hAnsi="宋体" w:cs="宋体" w:hint="eastAsia"/>
                <w:color w:val="000000"/>
                <w:kern w:val="0"/>
                <w:sz w:val="16"/>
                <w:szCs w:val="16"/>
                <w:lang/>
              </w:rPr>
              <w:t>分）</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年度预算数（万元）</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年初预算</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调整后预算数</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预算执行数</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预算执行率</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得分</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原因</w:t>
            </w:r>
          </w:p>
        </w:tc>
      </w:tr>
      <w:tr w:rsidR="00D56551">
        <w:trPr>
          <w:trHeight w:val="339"/>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总额</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12.00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1.88</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15.65%</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w:t>
            </w:r>
          </w:p>
        </w:tc>
        <w:tc>
          <w:tcPr>
            <w:tcW w:w="16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因科研项目周期性长，项目经费执行率低。</w:t>
            </w:r>
          </w:p>
        </w:tc>
      </w:tr>
      <w:tr w:rsidR="00D56551">
        <w:trPr>
          <w:trHeight w:val="374"/>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其中：财政资金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12.00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1.88</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15.65%</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财政专户管理资金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50"/>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单位资金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0.00%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332"/>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其他资金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18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i/>
                <w:iCs/>
                <w:color w:val="000000"/>
                <w:sz w:val="16"/>
                <w:szCs w:val="16"/>
              </w:rPr>
            </w:pPr>
          </w:p>
        </w:tc>
      </w:tr>
      <w:tr w:rsidR="00D56551">
        <w:trPr>
          <w:trHeight w:val="1147"/>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绩效指标（</w:t>
            </w:r>
            <w:r>
              <w:rPr>
                <w:rFonts w:ascii="宋体" w:hAnsi="宋体" w:cs="宋体" w:hint="eastAsia"/>
                <w:color w:val="000000"/>
                <w:kern w:val="0"/>
                <w:sz w:val="16"/>
                <w:szCs w:val="16"/>
                <w:lang/>
              </w:rPr>
              <w:t>90</w:t>
            </w:r>
            <w:r>
              <w:rPr>
                <w:rFonts w:ascii="宋体" w:hAnsi="宋体" w:cs="宋体" w:hint="eastAsia"/>
                <w:color w:val="000000"/>
                <w:kern w:val="0"/>
                <w:sz w:val="16"/>
                <w:szCs w:val="16"/>
                <w:lang/>
              </w:rPr>
              <w:t>分）</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一级指标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二级指标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三级指标</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指标性质</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指标值</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度量单位</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完成值</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得分</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未完成原因分析</w:t>
            </w:r>
          </w:p>
        </w:tc>
      </w:tr>
      <w:tr w:rsidR="00D56551">
        <w:trPr>
          <w:trHeight w:val="299"/>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产出指标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数量指标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论文数量</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篇</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40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40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效益指标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社会效益指标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推动行业发展</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定性</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优良中低差</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优</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578"/>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满意度指标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服务对象满意度指标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满意度</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80</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90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299"/>
        </w:trPr>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color w:val="000000"/>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成本指标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经济成本指标</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科研经费</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12</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万元</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i/>
                <w:iCs/>
                <w:color w:val="000000"/>
                <w:sz w:val="16"/>
                <w:szCs w:val="16"/>
              </w:rPr>
            </w:pPr>
            <w:r>
              <w:rPr>
                <w:rFonts w:ascii="宋体" w:hAnsi="宋体" w:cs="宋体" w:hint="eastAsia"/>
                <w:i/>
                <w:iCs/>
                <w:color w:val="000000"/>
                <w:kern w:val="0"/>
                <w:sz w:val="16"/>
                <w:szCs w:val="16"/>
                <w:lang/>
              </w:rPr>
              <w:t>1.9</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jc w:val="center"/>
              <w:rPr>
                <w:rFonts w:ascii="宋体" w:hAnsi="宋体" w:cs="宋体"/>
                <w:i/>
                <w:iCs/>
                <w:color w:val="000000"/>
                <w:sz w:val="16"/>
                <w:szCs w:val="16"/>
              </w:rPr>
            </w:pPr>
          </w:p>
        </w:tc>
      </w:tr>
      <w:tr w:rsidR="00D56551">
        <w:trPr>
          <w:trHeight w:val="294"/>
        </w:trPr>
        <w:tc>
          <w:tcPr>
            <w:tcW w:w="707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合计</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91</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D56551">
            <w:pPr>
              <w:rPr>
                <w:rFonts w:ascii="宋体" w:hAnsi="宋体" w:cs="宋体"/>
                <w:color w:val="000000"/>
                <w:sz w:val="16"/>
                <w:szCs w:val="16"/>
              </w:rPr>
            </w:pP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评价结论</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项目绩效指标完成姣好，达到年度目标，预算执行速度姣慢。</w:t>
            </w: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存在问题</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经费执行率偏低。</w:t>
            </w:r>
          </w:p>
        </w:tc>
      </w:tr>
      <w:tr w:rsidR="00D56551">
        <w:trPr>
          <w:trHeight w:val="5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改进措施</w:t>
            </w:r>
          </w:p>
        </w:tc>
        <w:tc>
          <w:tcPr>
            <w:tcW w:w="898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i/>
                <w:iCs/>
                <w:color w:val="000000"/>
                <w:sz w:val="16"/>
                <w:szCs w:val="16"/>
              </w:rPr>
            </w:pPr>
            <w:r>
              <w:rPr>
                <w:rFonts w:ascii="宋体" w:hAnsi="宋体" w:cs="宋体" w:hint="eastAsia"/>
                <w:i/>
                <w:iCs/>
                <w:color w:val="000000"/>
                <w:kern w:val="0"/>
                <w:sz w:val="16"/>
                <w:szCs w:val="16"/>
                <w:lang/>
              </w:rPr>
              <w:t>加强项目中期检查，督促预算执行。</w:t>
            </w:r>
          </w:p>
        </w:tc>
      </w:tr>
      <w:tr w:rsidR="00D56551">
        <w:trPr>
          <w:trHeight w:val="304"/>
        </w:trPr>
        <w:tc>
          <w:tcPr>
            <w:tcW w:w="482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项目负责人：刘云</w:t>
            </w:r>
          </w:p>
        </w:tc>
        <w:tc>
          <w:tcPr>
            <w:tcW w:w="479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56551" w:rsidRDefault="00C732AD">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财务负责人：李小华</w:t>
            </w:r>
          </w:p>
        </w:tc>
      </w:tr>
    </w:tbl>
    <w:p w:rsidR="00D56551" w:rsidRDefault="00D56551">
      <w:pPr>
        <w:spacing w:line="572" w:lineRule="exact"/>
        <w:jc w:val="left"/>
        <w:outlineLvl w:val="0"/>
        <w:rPr>
          <w:rFonts w:ascii="仿宋_GB2312" w:eastAsia="仿宋_GB2312" w:hAnsi="仿宋_GB2312" w:cs="仿宋_GB2312"/>
          <w:sz w:val="32"/>
          <w:szCs w:val="32"/>
        </w:rPr>
      </w:pPr>
    </w:p>
    <w:p w:rsidR="00D56551" w:rsidRDefault="00D56551">
      <w:pPr>
        <w:spacing w:line="600" w:lineRule="exact"/>
        <w:jc w:val="left"/>
        <w:outlineLvl w:val="0"/>
        <w:rPr>
          <w:rFonts w:ascii="仿宋_GB2312" w:eastAsia="仿宋_GB2312" w:hAnsi="Calibri" w:cs="仿宋"/>
          <w:kern w:val="0"/>
          <w:sz w:val="32"/>
          <w:szCs w:val="32"/>
        </w:rPr>
      </w:pPr>
    </w:p>
    <w:p w:rsidR="00D56551" w:rsidRDefault="00D56551" w:rsidP="007A7B68">
      <w:pPr>
        <w:pStyle w:val="a0"/>
        <w:spacing w:before="93"/>
        <w:rPr>
          <w:rFonts w:hAnsi="Calibri" w:cs="仿宋"/>
          <w:sz w:val="32"/>
          <w:szCs w:val="32"/>
        </w:rPr>
      </w:pPr>
    </w:p>
    <w:p w:rsidR="00D56551" w:rsidRDefault="00D56551" w:rsidP="007A7B68">
      <w:pPr>
        <w:pStyle w:val="a0"/>
        <w:spacing w:before="93"/>
        <w:rPr>
          <w:rFonts w:hAnsi="Calibri" w:cs="仿宋"/>
          <w:sz w:val="32"/>
          <w:szCs w:val="32"/>
        </w:rPr>
      </w:pPr>
    </w:p>
    <w:p w:rsidR="00D56551" w:rsidRDefault="00D56551" w:rsidP="007A7B68">
      <w:pPr>
        <w:pStyle w:val="a0"/>
        <w:spacing w:before="93"/>
        <w:rPr>
          <w:rFonts w:hAnsi="Calibri" w:cs="仿宋"/>
          <w:sz w:val="32"/>
          <w:szCs w:val="32"/>
        </w:rPr>
      </w:pPr>
    </w:p>
    <w:p w:rsidR="00D56551" w:rsidRDefault="00D56551" w:rsidP="007A7B68">
      <w:pPr>
        <w:pStyle w:val="a0"/>
        <w:spacing w:before="93"/>
        <w:rPr>
          <w:rFonts w:hAnsi="Calibri" w:cs="仿宋"/>
          <w:sz w:val="32"/>
          <w:szCs w:val="32"/>
        </w:rPr>
      </w:pPr>
    </w:p>
    <w:p w:rsidR="00D56551" w:rsidRDefault="00D56551">
      <w:pPr>
        <w:widowControl/>
        <w:adjustRightInd w:val="0"/>
        <w:snapToGrid w:val="0"/>
        <w:spacing w:line="580" w:lineRule="exact"/>
        <w:contextualSpacing/>
        <w:jc w:val="left"/>
      </w:pPr>
    </w:p>
    <w:p w:rsidR="00D56551" w:rsidRDefault="00D56551">
      <w:pPr>
        <w:spacing w:line="600" w:lineRule="exact"/>
        <w:jc w:val="center"/>
        <w:outlineLvl w:val="0"/>
        <w:rPr>
          <w:rFonts w:ascii="黑体" w:eastAsia="黑体" w:hAnsi="黑体"/>
          <w:sz w:val="44"/>
          <w:szCs w:val="44"/>
        </w:rPr>
      </w:pPr>
    </w:p>
    <w:p w:rsidR="00D56551" w:rsidRDefault="00D56551">
      <w:pPr>
        <w:spacing w:line="600" w:lineRule="exact"/>
        <w:jc w:val="center"/>
        <w:outlineLvl w:val="0"/>
        <w:rPr>
          <w:rFonts w:ascii="黑体" w:eastAsia="黑体" w:hAnsi="黑体"/>
          <w:sz w:val="44"/>
          <w:szCs w:val="44"/>
        </w:rPr>
      </w:pPr>
    </w:p>
    <w:p w:rsidR="00D56551" w:rsidRDefault="00D56551">
      <w:pPr>
        <w:spacing w:line="600" w:lineRule="exact"/>
        <w:jc w:val="center"/>
        <w:outlineLvl w:val="0"/>
        <w:rPr>
          <w:rFonts w:ascii="黑体" w:eastAsia="黑体" w:hAnsi="黑体"/>
          <w:sz w:val="44"/>
          <w:szCs w:val="44"/>
        </w:rPr>
      </w:pPr>
    </w:p>
    <w:p w:rsidR="00D56551" w:rsidRDefault="00D56551">
      <w:pPr>
        <w:spacing w:line="600" w:lineRule="exact"/>
        <w:jc w:val="center"/>
        <w:outlineLvl w:val="0"/>
        <w:rPr>
          <w:rFonts w:ascii="黑体" w:eastAsia="黑体" w:hAnsi="黑体"/>
          <w:sz w:val="44"/>
          <w:szCs w:val="44"/>
        </w:rPr>
      </w:pPr>
    </w:p>
    <w:p w:rsidR="00D56551" w:rsidRDefault="00D56551">
      <w:pPr>
        <w:spacing w:line="600" w:lineRule="exact"/>
        <w:jc w:val="center"/>
        <w:outlineLvl w:val="0"/>
        <w:rPr>
          <w:rFonts w:ascii="黑体" w:eastAsia="黑体" w:hAnsi="黑体"/>
          <w:sz w:val="44"/>
          <w:szCs w:val="44"/>
        </w:rPr>
      </w:pPr>
    </w:p>
    <w:p w:rsidR="00D56551" w:rsidRDefault="00D56551">
      <w:pPr>
        <w:spacing w:line="600" w:lineRule="exact"/>
        <w:jc w:val="center"/>
        <w:outlineLvl w:val="0"/>
        <w:rPr>
          <w:rFonts w:ascii="黑体" w:eastAsia="黑体" w:hAnsi="黑体"/>
          <w:sz w:val="44"/>
          <w:szCs w:val="44"/>
        </w:rPr>
      </w:pPr>
    </w:p>
    <w:p w:rsidR="00D56551" w:rsidRDefault="00D56551">
      <w:pPr>
        <w:spacing w:line="600" w:lineRule="exact"/>
        <w:jc w:val="center"/>
        <w:outlineLvl w:val="0"/>
        <w:rPr>
          <w:rFonts w:ascii="黑体" w:eastAsia="黑体" w:hAnsi="黑体"/>
          <w:sz w:val="44"/>
          <w:szCs w:val="44"/>
        </w:rPr>
      </w:pPr>
    </w:p>
    <w:p w:rsidR="00D56551" w:rsidRDefault="00D56551">
      <w:pPr>
        <w:spacing w:line="600" w:lineRule="exact"/>
        <w:jc w:val="center"/>
        <w:outlineLvl w:val="0"/>
        <w:rPr>
          <w:rFonts w:ascii="黑体" w:eastAsia="黑体" w:hAnsi="黑体"/>
          <w:sz w:val="44"/>
          <w:szCs w:val="44"/>
        </w:rPr>
      </w:pPr>
    </w:p>
    <w:p w:rsidR="00D56551" w:rsidRDefault="00D56551">
      <w:pPr>
        <w:spacing w:line="600" w:lineRule="exact"/>
        <w:jc w:val="center"/>
        <w:outlineLvl w:val="0"/>
        <w:rPr>
          <w:rFonts w:ascii="黑体" w:eastAsia="黑体" w:hAnsi="黑体"/>
          <w:sz w:val="44"/>
          <w:szCs w:val="44"/>
        </w:rPr>
      </w:pPr>
    </w:p>
    <w:p w:rsidR="00D56551" w:rsidRDefault="00D56551">
      <w:pPr>
        <w:spacing w:line="600" w:lineRule="exact"/>
        <w:jc w:val="center"/>
        <w:outlineLvl w:val="0"/>
        <w:rPr>
          <w:rFonts w:ascii="黑体" w:eastAsia="黑体" w:hAnsi="黑体"/>
          <w:sz w:val="44"/>
          <w:szCs w:val="44"/>
        </w:rPr>
      </w:pPr>
    </w:p>
    <w:p w:rsidR="00D56551" w:rsidRDefault="00D56551">
      <w:pPr>
        <w:spacing w:line="600" w:lineRule="exact"/>
        <w:jc w:val="center"/>
        <w:outlineLvl w:val="0"/>
        <w:rPr>
          <w:rFonts w:ascii="黑体" w:eastAsia="黑体" w:hAnsi="黑体"/>
          <w:sz w:val="44"/>
          <w:szCs w:val="44"/>
        </w:rPr>
      </w:pPr>
    </w:p>
    <w:p w:rsidR="00D56551" w:rsidRDefault="00D56551">
      <w:pPr>
        <w:spacing w:line="600" w:lineRule="exact"/>
        <w:jc w:val="center"/>
        <w:outlineLvl w:val="0"/>
        <w:rPr>
          <w:rFonts w:ascii="黑体" w:eastAsia="黑体" w:hAnsi="黑体"/>
          <w:sz w:val="44"/>
          <w:szCs w:val="44"/>
        </w:rPr>
      </w:pPr>
    </w:p>
    <w:p w:rsidR="00D56551" w:rsidRDefault="00D56551">
      <w:pPr>
        <w:spacing w:line="600" w:lineRule="exact"/>
        <w:jc w:val="center"/>
        <w:outlineLvl w:val="0"/>
        <w:rPr>
          <w:rFonts w:ascii="黑体" w:eastAsia="黑体" w:hAnsi="黑体"/>
          <w:sz w:val="44"/>
          <w:szCs w:val="44"/>
        </w:rPr>
      </w:pPr>
    </w:p>
    <w:p w:rsidR="00D56551" w:rsidRDefault="00D56551">
      <w:pPr>
        <w:spacing w:line="600" w:lineRule="exact"/>
        <w:jc w:val="center"/>
        <w:outlineLvl w:val="0"/>
        <w:rPr>
          <w:rFonts w:ascii="黑体" w:eastAsia="黑体" w:hAnsi="黑体"/>
          <w:sz w:val="44"/>
          <w:szCs w:val="44"/>
        </w:rPr>
      </w:pPr>
    </w:p>
    <w:p w:rsidR="00D56551" w:rsidRDefault="00D56551">
      <w:pPr>
        <w:spacing w:line="600" w:lineRule="exact"/>
        <w:jc w:val="center"/>
        <w:outlineLvl w:val="0"/>
        <w:rPr>
          <w:rFonts w:ascii="黑体" w:eastAsia="黑体" w:hAnsi="黑体"/>
          <w:sz w:val="44"/>
          <w:szCs w:val="44"/>
        </w:rPr>
      </w:pPr>
    </w:p>
    <w:p w:rsidR="00D56551" w:rsidRDefault="00D56551">
      <w:pPr>
        <w:spacing w:line="600" w:lineRule="exact"/>
        <w:jc w:val="center"/>
        <w:outlineLvl w:val="0"/>
        <w:rPr>
          <w:rFonts w:ascii="黑体" w:eastAsia="黑体" w:hAnsi="黑体"/>
          <w:sz w:val="44"/>
          <w:szCs w:val="44"/>
        </w:rPr>
      </w:pPr>
    </w:p>
    <w:p w:rsidR="00D56551" w:rsidRDefault="00C732AD">
      <w:pPr>
        <w:spacing w:line="600" w:lineRule="exact"/>
        <w:jc w:val="center"/>
        <w:outlineLvl w:val="0"/>
        <w:rPr>
          <w:rFonts w:ascii="仿宋" w:eastAsia="仿宋" w:hAnsi="仿宋"/>
        </w:rPr>
      </w:pPr>
      <w:r>
        <w:rPr>
          <w:rFonts w:ascii="黑体" w:eastAsia="黑体" w:hAnsi="黑体" w:hint="eastAsia"/>
          <w:sz w:val="44"/>
          <w:szCs w:val="44"/>
        </w:rPr>
        <w:lastRenderedPageBreak/>
        <w:t>第</w:t>
      </w:r>
      <w:r>
        <w:rPr>
          <w:rStyle w:val="1Char"/>
          <w:rFonts w:ascii="黑体" w:eastAsia="黑体" w:hAnsi="黑体" w:hint="eastAsia"/>
          <w:b w:val="0"/>
        </w:rPr>
        <w:t>五部分</w:t>
      </w:r>
      <w:r>
        <w:rPr>
          <w:rStyle w:val="1Char"/>
          <w:rFonts w:ascii="黑体" w:eastAsia="黑体" w:hAnsi="黑体" w:hint="eastAsia"/>
          <w:b w:val="0"/>
        </w:rPr>
        <w:t xml:space="preserve"> </w:t>
      </w:r>
      <w:r>
        <w:rPr>
          <w:rStyle w:val="1Char"/>
          <w:rFonts w:ascii="黑体" w:eastAsia="黑体" w:hAnsi="黑体" w:hint="eastAsia"/>
          <w:b w:val="0"/>
        </w:rPr>
        <w:t>附表</w:t>
      </w:r>
      <w:bookmarkStart w:id="55" w:name="_Toc15396619"/>
      <w:bookmarkEnd w:id="52"/>
      <w:bookmarkEnd w:id="54"/>
    </w:p>
    <w:bookmarkEnd w:id="55"/>
    <w:p w:rsidR="00D56551" w:rsidRDefault="00C732AD">
      <w:pPr>
        <w:pStyle w:val="2"/>
        <w:rPr>
          <w:rFonts w:ascii="仿宋" w:eastAsia="仿宋" w:hAnsi="仿宋"/>
        </w:rPr>
      </w:pPr>
      <w:r>
        <w:rPr>
          <w:rFonts w:ascii="仿宋" w:eastAsia="仿宋" w:hAnsi="仿宋" w:hint="eastAsia"/>
          <w:b w:val="0"/>
        </w:rPr>
        <w:t>一、收</w:t>
      </w:r>
      <w:r>
        <w:rPr>
          <w:rStyle w:val="2Char"/>
          <w:rFonts w:ascii="仿宋" w:eastAsia="仿宋" w:hAnsi="仿宋" w:hint="eastAsia"/>
        </w:rPr>
        <w:t>入支出决算总表</w:t>
      </w:r>
    </w:p>
    <w:p w:rsidR="00D56551" w:rsidRDefault="00C732AD">
      <w:pPr>
        <w:pStyle w:val="2"/>
        <w:rPr>
          <w:rFonts w:ascii="仿宋" w:eastAsia="仿宋" w:hAnsi="仿宋"/>
        </w:rPr>
      </w:pPr>
      <w:bookmarkStart w:id="56" w:name="_Toc15396620"/>
      <w:r>
        <w:rPr>
          <w:rFonts w:ascii="仿宋" w:eastAsia="仿宋" w:hAnsi="仿宋" w:hint="eastAsia"/>
          <w:b w:val="0"/>
        </w:rPr>
        <w:t>二、收</w:t>
      </w:r>
      <w:r>
        <w:rPr>
          <w:rStyle w:val="2Char"/>
          <w:rFonts w:ascii="仿宋" w:eastAsia="仿宋" w:hAnsi="仿宋" w:hint="eastAsia"/>
        </w:rPr>
        <w:t>入决算表</w:t>
      </w:r>
      <w:bookmarkEnd w:id="56"/>
    </w:p>
    <w:p w:rsidR="00D56551" w:rsidRDefault="00C732AD">
      <w:pPr>
        <w:pStyle w:val="2"/>
        <w:rPr>
          <w:rFonts w:ascii="仿宋" w:eastAsia="仿宋" w:hAnsi="仿宋"/>
        </w:rPr>
      </w:pPr>
      <w:bookmarkStart w:id="57" w:name="_Toc15396621"/>
      <w:r>
        <w:rPr>
          <w:rStyle w:val="2Char"/>
          <w:rFonts w:ascii="仿宋" w:eastAsia="仿宋" w:hAnsi="仿宋" w:hint="eastAsia"/>
        </w:rPr>
        <w:t>三、</w:t>
      </w:r>
      <w:r>
        <w:rPr>
          <w:rFonts w:ascii="仿宋" w:eastAsia="仿宋" w:hAnsi="仿宋" w:hint="eastAsia"/>
          <w:b w:val="0"/>
        </w:rPr>
        <w:t>支</w:t>
      </w:r>
      <w:r>
        <w:rPr>
          <w:rStyle w:val="2Char"/>
          <w:rFonts w:ascii="仿宋" w:eastAsia="仿宋" w:hAnsi="仿宋" w:hint="eastAsia"/>
        </w:rPr>
        <w:t>出决算表</w:t>
      </w:r>
      <w:bookmarkEnd w:id="57"/>
    </w:p>
    <w:p w:rsidR="00D56551" w:rsidRDefault="00C732AD">
      <w:pPr>
        <w:pStyle w:val="2"/>
        <w:rPr>
          <w:rFonts w:ascii="仿宋" w:eastAsia="仿宋" w:hAnsi="仿宋"/>
          <w:b w:val="0"/>
        </w:rPr>
      </w:pPr>
      <w:bookmarkStart w:id="58" w:name="_Toc15396622"/>
      <w:r>
        <w:rPr>
          <w:rStyle w:val="2Char"/>
          <w:rFonts w:ascii="仿宋" w:eastAsia="仿宋" w:hAnsi="仿宋" w:hint="eastAsia"/>
        </w:rPr>
        <w:t>四、</w:t>
      </w:r>
      <w:r>
        <w:rPr>
          <w:rFonts w:ascii="仿宋" w:eastAsia="仿宋" w:hAnsi="仿宋" w:hint="eastAsia"/>
          <w:b w:val="0"/>
        </w:rPr>
        <w:t>财</w:t>
      </w:r>
      <w:r>
        <w:rPr>
          <w:rStyle w:val="2Char"/>
          <w:rFonts w:ascii="仿宋" w:eastAsia="仿宋" w:hAnsi="仿宋" w:hint="eastAsia"/>
        </w:rPr>
        <w:t>政拨款收入支出决算总表</w:t>
      </w:r>
      <w:bookmarkEnd w:id="58"/>
    </w:p>
    <w:p w:rsidR="00D56551" w:rsidRDefault="00C732AD">
      <w:pPr>
        <w:pStyle w:val="2"/>
        <w:rPr>
          <w:rStyle w:val="2Char"/>
          <w:rFonts w:ascii="仿宋" w:eastAsia="仿宋" w:hAnsi="仿宋"/>
        </w:rPr>
      </w:pPr>
      <w:bookmarkStart w:id="59" w:name="_Toc15396623"/>
      <w:r>
        <w:rPr>
          <w:rStyle w:val="2Char"/>
          <w:rFonts w:ascii="仿宋" w:eastAsia="仿宋" w:hAnsi="仿宋" w:hint="eastAsia"/>
        </w:rPr>
        <w:t>五、</w:t>
      </w:r>
      <w:r>
        <w:rPr>
          <w:rFonts w:ascii="仿宋" w:eastAsia="仿宋" w:hAnsi="仿宋" w:hint="eastAsia"/>
          <w:b w:val="0"/>
        </w:rPr>
        <w:t>财</w:t>
      </w:r>
      <w:r>
        <w:rPr>
          <w:rStyle w:val="2Char"/>
          <w:rFonts w:ascii="仿宋" w:eastAsia="仿宋" w:hAnsi="仿宋" w:hint="eastAsia"/>
        </w:rPr>
        <w:t>政拨款支出决算明细表</w:t>
      </w:r>
      <w:bookmarkStart w:id="60" w:name="_Toc15396624"/>
      <w:bookmarkEnd w:id="59"/>
    </w:p>
    <w:p w:rsidR="00D56551" w:rsidRDefault="00C732AD">
      <w:pPr>
        <w:pStyle w:val="2"/>
        <w:rPr>
          <w:rFonts w:ascii="仿宋" w:eastAsia="仿宋" w:hAnsi="仿宋"/>
        </w:rPr>
      </w:pPr>
      <w:r>
        <w:rPr>
          <w:rStyle w:val="2Char"/>
          <w:rFonts w:ascii="仿宋" w:eastAsia="仿宋" w:hAnsi="仿宋" w:hint="eastAsia"/>
        </w:rPr>
        <w:t>六、</w:t>
      </w:r>
      <w:r>
        <w:rPr>
          <w:rFonts w:ascii="仿宋" w:eastAsia="仿宋" w:hAnsi="仿宋" w:hint="eastAsia"/>
          <w:b w:val="0"/>
        </w:rPr>
        <w:t>一</w:t>
      </w:r>
      <w:r>
        <w:rPr>
          <w:rStyle w:val="2Char"/>
          <w:rFonts w:ascii="仿宋" w:eastAsia="仿宋" w:hAnsi="仿宋" w:hint="eastAsia"/>
        </w:rPr>
        <w:t>般公共预算财政拨款支出决算表</w:t>
      </w:r>
      <w:bookmarkEnd w:id="60"/>
    </w:p>
    <w:p w:rsidR="00D56551" w:rsidRDefault="00C732AD">
      <w:pPr>
        <w:pStyle w:val="2"/>
        <w:rPr>
          <w:rFonts w:ascii="仿宋" w:eastAsia="仿宋" w:hAnsi="仿宋"/>
        </w:rPr>
      </w:pPr>
      <w:bookmarkStart w:id="61" w:name="_Toc15396625"/>
      <w:r>
        <w:rPr>
          <w:rStyle w:val="2Char"/>
          <w:rFonts w:ascii="仿宋" w:eastAsia="仿宋" w:hAnsi="仿宋" w:hint="eastAsia"/>
        </w:rPr>
        <w:t>七、</w:t>
      </w:r>
      <w:r>
        <w:rPr>
          <w:rFonts w:ascii="仿宋" w:eastAsia="仿宋" w:hAnsi="仿宋" w:hint="eastAsia"/>
          <w:b w:val="0"/>
        </w:rPr>
        <w:t>一</w:t>
      </w:r>
      <w:r>
        <w:rPr>
          <w:rStyle w:val="2Char"/>
          <w:rFonts w:ascii="仿宋" w:eastAsia="仿宋" w:hAnsi="仿宋" w:hint="eastAsia"/>
        </w:rPr>
        <w:t>般公共预算财政拨款支出决算明细表</w:t>
      </w:r>
      <w:bookmarkEnd w:id="61"/>
    </w:p>
    <w:p w:rsidR="00D56551" w:rsidRDefault="00C732AD">
      <w:pPr>
        <w:pStyle w:val="2"/>
        <w:rPr>
          <w:rFonts w:ascii="仿宋" w:eastAsia="仿宋" w:hAnsi="仿宋"/>
        </w:rPr>
      </w:pPr>
      <w:bookmarkStart w:id="62" w:name="_Toc15396626"/>
      <w:r>
        <w:rPr>
          <w:rStyle w:val="2Char"/>
          <w:rFonts w:ascii="仿宋" w:eastAsia="仿宋" w:hAnsi="仿宋" w:hint="eastAsia"/>
        </w:rPr>
        <w:t>八、</w:t>
      </w:r>
      <w:r>
        <w:rPr>
          <w:rFonts w:ascii="仿宋" w:eastAsia="仿宋" w:hAnsi="仿宋" w:hint="eastAsia"/>
          <w:b w:val="0"/>
        </w:rPr>
        <w:t>一</w:t>
      </w:r>
      <w:r>
        <w:rPr>
          <w:rStyle w:val="2Char"/>
          <w:rFonts w:ascii="仿宋" w:eastAsia="仿宋" w:hAnsi="仿宋" w:hint="eastAsia"/>
        </w:rPr>
        <w:t>般公共预算财政拨款基本支出决算表</w:t>
      </w:r>
      <w:bookmarkEnd w:id="62"/>
    </w:p>
    <w:p w:rsidR="00D56551" w:rsidRDefault="00C732AD">
      <w:pPr>
        <w:pStyle w:val="2"/>
        <w:rPr>
          <w:rFonts w:ascii="仿宋" w:eastAsia="仿宋" w:hAnsi="仿宋"/>
        </w:rPr>
      </w:pPr>
      <w:bookmarkStart w:id="63" w:name="_Toc15396627"/>
      <w:r>
        <w:rPr>
          <w:rStyle w:val="2Char"/>
          <w:rFonts w:ascii="仿宋" w:eastAsia="仿宋" w:hAnsi="仿宋" w:hint="eastAsia"/>
        </w:rPr>
        <w:t>九、</w:t>
      </w:r>
      <w:r>
        <w:rPr>
          <w:rFonts w:ascii="仿宋" w:eastAsia="仿宋" w:hAnsi="仿宋" w:hint="eastAsia"/>
          <w:b w:val="0"/>
        </w:rPr>
        <w:t>一</w:t>
      </w:r>
      <w:r>
        <w:rPr>
          <w:rStyle w:val="2Char"/>
          <w:rFonts w:ascii="仿宋" w:eastAsia="仿宋" w:hAnsi="仿宋" w:hint="eastAsia"/>
        </w:rPr>
        <w:t>般公共预算财政拨款项目支出决算表</w:t>
      </w:r>
      <w:bookmarkEnd w:id="63"/>
    </w:p>
    <w:p w:rsidR="00D56551" w:rsidRDefault="00C732AD">
      <w:pPr>
        <w:pStyle w:val="2"/>
        <w:rPr>
          <w:rFonts w:ascii="仿宋" w:eastAsia="仿宋" w:hAnsi="仿宋"/>
        </w:rPr>
      </w:pPr>
      <w:bookmarkStart w:id="64" w:name="_Toc15396628"/>
      <w:r>
        <w:rPr>
          <w:rStyle w:val="2Char"/>
          <w:rFonts w:ascii="仿宋" w:eastAsia="仿宋" w:hAnsi="仿宋" w:hint="eastAsia"/>
        </w:rPr>
        <w:t>十、</w:t>
      </w:r>
      <w:bookmarkEnd w:id="64"/>
      <w:r>
        <w:rPr>
          <w:rFonts w:ascii="仿宋" w:eastAsia="仿宋" w:hAnsi="仿宋" w:hint="eastAsia"/>
          <w:b w:val="0"/>
        </w:rPr>
        <w:t>政</w:t>
      </w:r>
      <w:r>
        <w:rPr>
          <w:rStyle w:val="2Char"/>
          <w:rFonts w:ascii="仿宋" w:eastAsia="仿宋" w:hAnsi="仿宋" w:hint="eastAsia"/>
        </w:rPr>
        <w:t>府性基金预算财政拨款收入支出决算表</w:t>
      </w:r>
    </w:p>
    <w:p w:rsidR="00D56551" w:rsidRDefault="00C732AD">
      <w:pPr>
        <w:pStyle w:val="2"/>
        <w:rPr>
          <w:rFonts w:ascii="仿宋" w:eastAsia="仿宋" w:hAnsi="仿宋"/>
        </w:rPr>
      </w:pPr>
      <w:bookmarkStart w:id="65" w:name="_Toc15396629"/>
      <w:r>
        <w:rPr>
          <w:rStyle w:val="2Char"/>
          <w:rFonts w:ascii="仿宋" w:eastAsia="仿宋" w:hAnsi="仿宋" w:hint="eastAsia"/>
        </w:rPr>
        <w:t>十一、</w:t>
      </w:r>
      <w:bookmarkEnd w:id="65"/>
      <w:r>
        <w:rPr>
          <w:rFonts w:ascii="仿宋" w:eastAsia="仿宋" w:hAnsi="仿宋" w:hint="eastAsia"/>
          <w:b w:val="0"/>
        </w:rPr>
        <w:t>国</w:t>
      </w:r>
      <w:r>
        <w:rPr>
          <w:rStyle w:val="2Char"/>
          <w:rFonts w:ascii="仿宋" w:eastAsia="仿宋" w:hAnsi="仿宋" w:hint="eastAsia"/>
        </w:rPr>
        <w:t>有资本经营预算</w:t>
      </w:r>
      <w:r>
        <w:rPr>
          <w:rStyle w:val="2Char"/>
          <w:rFonts w:ascii="仿宋" w:eastAsia="仿宋" w:hAnsi="仿宋" w:hint="eastAsia"/>
        </w:rPr>
        <w:t>财政拨款收入</w:t>
      </w:r>
      <w:r>
        <w:rPr>
          <w:rStyle w:val="2Char"/>
          <w:rFonts w:ascii="仿宋" w:eastAsia="仿宋" w:hAnsi="仿宋" w:hint="eastAsia"/>
        </w:rPr>
        <w:t>支出决算表</w:t>
      </w:r>
    </w:p>
    <w:p w:rsidR="00D56551" w:rsidRDefault="00C732AD">
      <w:pPr>
        <w:pStyle w:val="2"/>
        <w:rPr>
          <w:rFonts w:ascii="仿宋" w:eastAsia="仿宋" w:hAnsi="仿宋"/>
        </w:rPr>
      </w:pPr>
      <w:bookmarkStart w:id="66" w:name="_Toc15396630"/>
      <w:r>
        <w:rPr>
          <w:rStyle w:val="2Char"/>
          <w:rFonts w:ascii="仿宋" w:eastAsia="仿宋" w:hAnsi="仿宋" w:hint="eastAsia"/>
        </w:rPr>
        <w:t>十二、</w:t>
      </w:r>
      <w:bookmarkEnd w:id="66"/>
      <w:r>
        <w:rPr>
          <w:rStyle w:val="2Char"/>
          <w:rFonts w:ascii="仿宋" w:eastAsia="仿宋" w:hAnsi="仿宋" w:hint="eastAsia"/>
        </w:rPr>
        <w:t>国有资本经营预算财政拨款支出决算表</w:t>
      </w:r>
    </w:p>
    <w:p w:rsidR="00D56551" w:rsidRDefault="00C732AD">
      <w:pPr>
        <w:pStyle w:val="2"/>
        <w:rPr>
          <w:rFonts w:eastAsia="仿宋"/>
        </w:rPr>
      </w:pPr>
      <w:bookmarkStart w:id="67" w:name="_Toc15396631"/>
      <w:r>
        <w:rPr>
          <w:rStyle w:val="2Char"/>
          <w:rFonts w:ascii="仿宋" w:eastAsia="仿宋" w:hAnsi="仿宋" w:hint="eastAsia"/>
        </w:rPr>
        <w:t>十三、</w:t>
      </w:r>
      <w:bookmarkEnd w:id="67"/>
      <w:r>
        <w:rPr>
          <w:rStyle w:val="2Char"/>
          <w:rFonts w:ascii="仿宋" w:eastAsia="仿宋" w:hAnsi="仿宋" w:hint="eastAsia"/>
        </w:rPr>
        <w:t>财政拨款“三公”经费支出决算表</w:t>
      </w:r>
    </w:p>
    <w:p w:rsidR="00D56551" w:rsidRDefault="00D56551">
      <w:pPr>
        <w:rPr>
          <w:rFonts w:eastAsia="仿宋"/>
        </w:rPr>
      </w:pPr>
    </w:p>
    <w:sectPr w:rsidR="00D56551" w:rsidSect="00D56551">
      <w:headerReference w:type="default" r:id="rId13"/>
      <w:footerReference w:type="default" r:id="rId14"/>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2AD" w:rsidRDefault="00C732AD" w:rsidP="00D56551">
      <w:r>
        <w:separator/>
      </w:r>
    </w:p>
  </w:endnote>
  <w:endnote w:type="continuationSeparator" w:id="1">
    <w:p w:rsidR="00C732AD" w:rsidRDefault="00C732AD" w:rsidP="00D565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D56551" w:rsidRDefault="00D56551">
        <w:pPr>
          <w:pStyle w:val="a6"/>
          <w:jc w:val="center"/>
        </w:pPr>
        <w:r>
          <w:fldChar w:fldCharType="begin"/>
        </w:r>
        <w:r w:rsidR="00C732AD">
          <w:instrText>PAGE   \* MERGEFORMAT</w:instrText>
        </w:r>
        <w:r>
          <w:fldChar w:fldCharType="separate"/>
        </w:r>
        <w:r w:rsidR="007A7B68" w:rsidRPr="007A7B68">
          <w:rPr>
            <w:noProof/>
            <w:lang w:val="zh-CN"/>
          </w:rPr>
          <w:t>11</w:t>
        </w:r>
        <w:r>
          <w:fldChar w:fldCharType="end"/>
        </w:r>
      </w:p>
    </w:sdtContent>
  </w:sdt>
  <w:p w:rsidR="00D56551" w:rsidRDefault="00D5655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2AD" w:rsidRDefault="00C732AD" w:rsidP="00D56551">
      <w:r>
        <w:separator/>
      </w:r>
    </w:p>
  </w:footnote>
  <w:footnote w:type="continuationSeparator" w:id="1">
    <w:p w:rsidR="00C732AD" w:rsidRDefault="00C732AD" w:rsidP="00D565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551" w:rsidRDefault="00D56551">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ascii="黑体" w:eastAsia="黑体" w:hAnsi="黑体" w:cs="黑体" w:hint="eastAsia"/>
        <w:sz w:val="44"/>
        <w:szCs w:val="44"/>
      </w:rPr>
    </w:lvl>
  </w:abstractNum>
  <w:abstractNum w:abstractNumId="2">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426BBC50"/>
    <w:multiLevelType w:val="singleLevel"/>
    <w:tmpl w:val="426BBC50"/>
    <w:lvl w:ilvl="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mY4MDRhMWM5NzgyM2M2NDljMjlkMzcwMGI2YzJmNDgifQ=="/>
  </w:docVars>
  <w:rsids>
    <w:rsidRoot w:val="00F1361C"/>
    <w:rsid w:val="9E3A10E2"/>
    <w:rsid w:val="F2E1F9D4"/>
    <w:rsid w:val="F7880819"/>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A7B68"/>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732AD"/>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56551"/>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6364C5"/>
    <w:rsid w:val="01D54FA8"/>
    <w:rsid w:val="03DB240E"/>
    <w:rsid w:val="057503D3"/>
    <w:rsid w:val="076F4605"/>
    <w:rsid w:val="08F90DA4"/>
    <w:rsid w:val="093A43FF"/>
    <w:rsid w:val="0A2032A3"/>
    <w:rsid w:val="0B253319"/>
    <w:rsid w:val="0B8A0B59"/>
    <w:rsid w:val="0B8A37D8"/>
    <w:rsid w:val="0BEC6D3E"/>
    <w:rsid w:val="10881780"/>
    <w:rsid w:val="10C055FF"/>
    <w:rsid w:val="118107EC"/>
    <w:rsid w:val="11DD6519"/>
    <w:rsid w:val="12124C6A"/>
    <w:rsid w:val="12C54916"/>
    <w:rsid w:val="16BB723D"/>
    <w:rsid w:val="18015F3F"/>
    <w:rsid w:val="1B416BD5"/>
    <w:rsid w:val="1BE8440E"/>
    <w:rsid w:val="1D155CEE"/>
    <w:rsid w:val="1F8D7980"/>
    <w:rsid w:val="202224A3"/>
    <w:rsid w:val="20F57F95"/>
    <w:rsid w:val="240371BF"/>
    <w:rsid w:val="24AB7F1B"/>
    <w:rsid w:val="24BF5CBD"/>
    <w:rsid w:val="25C741E6"/>
    <w:rsid w:val="27842671"/>
    <w:rsid w:val="29671ECA"/>
    <w:rsid w:val="29FD04D3"/>
    <w:rsid w:val="2ABE7A3E"/>
    <w:rsid w:val="2EFA178C"/>
    <w:rsid w:val="30B46D73"/>
    <w:rsid w:val="312C41DD"/>
    <w:rsid w:val="319F7F4E"/>
    <w:rsid w:val="321E5EA1"/>
    <w:rsid w:val="36F81565"/>
    <w:rsid w:val="37E77C91"/>
    <w:rsid w:val="39A5076E"/>
    <w:rsid w:val="39AE70AB"/>
    <w:rsid w:val="3C0C0783"/>
    <w:rsid w:val="3DE37BD4"/>
    <w:rsid w:val="3F9F3A96"/>
    <w:rsid w:val="4091466C"/>
    <w:rsid w:val="4316528C"/>
    <w:rsid w:val="44D5015E"/>
    <w:rsid w:val="48F055E1"/>
    <w:rsid w:val="493C27E9"/>
    <w:rsid w:val="496F39ED"/>
    <w:rsid w:val="49A34382"/>
    <w:rsid w:val="49FF41D3"/>
    <w:rsid w:val="4BE068DB"/>
    <w:rsid w:val="4BF6002B"/>
    <w:rsid w:val="4ECE2238"/>
    <w:rsid w:val="50B03A91"/>
    <w:rsid w:val="511961D4"/>
    <w:rsid w:val="51DB4B86"/>
    <w:rsid w:val="52CC5AC9"/>
    <w:rsid w:val="55333C3E"/>
    <w:rsid w:val="55D75031"/>
    <w:rsid w:val="55E14A82"/>
    <w:rsid w:val="573A428E"/>
    <w:rsid w:val="5837528E"/>
    <w:rsid w:val="59F27175"/>
    <w:rsid w:val="5AD17A14"/>
    <w:rsid w:val="5B9D5EC3"/>
    <w:rsid w:val="5D566B67"/>
    <w:rsid w:val="60212AE4"/>
    <w:rsid w:val="64A77388"/>
    <w:rsid w:val="64CA39A1"/>
    <w:rsid w:val="6552505D"/>
    <w:rsid w:val="691E33A0"/>
    <w:rsid w:val="6C4A05C8"/>
    <w:rsid w:val="6DA85BDA"/>
    <w:rsid w:val="720A07CF"/>
    <w:rsid w:val="72734D90"/>
    <w:rsid w:val="728C0BC1"/>
    <w:rsid w:val="772779D1"/>
    <w:rsid w:val="79E7B28D"/>
    <w:rsid w:val="7B823989"/>
    <w:rsid w:val="7BFB6778"/>
    <w:rsid w:val="7F9F20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56551"/>
    <w:pPr>
      <w:widowControl w:val="0"/>
      <w:jc w:val="both"/>
    </w:pPr>
    <w:rPr>
      <w:kern w:val="2"/>
      <w:sz w:val="21"/>
      <w:szCs w:val="24"/>
    </w:rPr>
  </w:style>
  <w:style w:type="paragraph" w:styleId="1">
    <w:name w:val="heading 1"/>
    <w:basedOn w:val="a"/>
    <w:next w:val="a"/>
    <w:link w:val="1Char"/>
    <w:uiPriority w:val="9"/>
    <w:qFormat/>
    <w:rsid w:val="00D5655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D5655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D56551"/>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D56551"/>
    <w:pPr>
      <w:spacing w:beforeLines="30"/>
    </w:pPr>
    <w:rPr>
      <w:rFonts w:ascii="仿宋_GB2312" w:eastAsia="仿宋_GB2312"/>
      <w:kern w:val="0"/>
      <w:sz w:val="30"/>
    </w:rPr>
  </w:style>
  <w:style w:type="paragraph" w:styleId="a4">
    <w:name w:val="caption"/>
    <w:basedOn w:val="a"/>
    <w:next w:val="a"/>
    <w:uiPriority w:val="35"/>
    <w:semiHidden/>
    <w:unhideWhenUsed/>
    <w:qFormat/>
    <w:rsid w:val="00D56551"/>
    <w:rPr>
      <w:rFonts w:ascii="Arial" w:eastAsia="黑体" w:hAnsi="Arial"/>
      <w:sz w:val="20"/>
    </w:rPr>
  </w:style>
  <w:style w:type="paragraph" w:styleId="30">
    <w:name w:val="toc 3"/>
    <w:basedOn w:val="a"/>
    <w:next w:val="a"/>
    <w:uiPriority w:val="39"/>
    <w:unhideWhenUsed/>
    <w:qFormat/>
    <w:rsid w:val="00D56551"/>
    <w:pPr>
      <w:tabs>
        <w:tab w:val="right" w:leader="dot" w:pos="8296"/>
      </w:tabs>
      <w:ind w:leftChars="400" w:left="840"/>
    </w:pPr>
  </w:style>
  <w:style w:type="paragraph" w:styleId="a5">
    <w:name w:val="Balloon Text"/>
    <w:basedOn w:val="a"/>
    <w:link w:val="Char0"/>
    <w:uiPriority w:val="99"/>
    <w:semiHidden/>
    <w:unhideWhenUsed/>
    <w:qFormat/>
    <w:rsid w:val="00D56551"/>
    <w:rPr>
      <w:sz w:val="18"/>
      <w:szCs w:val="18"/>
    </w:rPr>
  </w:style>
  <w:style w:type="paragraph" w:styleId="a6">
    <w:name w:val="footer"/>
    <w:basedOn w:val="a"/>
    <w:link w:val="Char1"/>
    <w:uiPriority w:val="99"/>
    <w:qFormat/>
    <w:rsid w:val="00D56551"/>
    <w:pPr>
      <w:tabs>
        <w:tab w:val="center" w:pos="4153"/>
        <w:tab w:val="right" w:pos="8306"/>
      </w:tabs>
      <w:snapToGrid w:val="0"/>
      <w:jc w:val="left"/>
    </w:pPr>
    <w:rPr>
      <w:rFonts w:ascii="Calibri" w:hAnsi="Calibri"/>
      <w:kern w:val="0"/>
      <w:sz w:val="18"/>
      <w:szCs w:val="18"/>
    </w:rPr>
  </w:style>
  <w:style w:type="paragraph" w:styleId="a7">
    <w:name w:val="header"/>
    <w:basedOn w:val="a"/>
    <w:link w:val="Char2"/>
    <w:uiPriority w:val="99"/>
    <w:semiHidden/>
    <w:qFormat/>
    <w:rsid w:val="00D56551"/>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D56551"/>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D56551"/>
    <w:pPr>
      <w:tabs>
        <w:tab w:val="right" w:leader="dot" w:pos="8296"/>
      </w:tabs>
      <w:ind w:leftChars="200" w:left="420"/>
    </w:pPr>
  </w:style>
  <w:style w:type="character" w:styleId="a8">
    <w:name w:val="Strong"/>
    <w:basedOn w:val="a1"/>
    <w:uiPriority w:val="99"/>
    <w:qFormat/>
    <w:rsid w:val="00D56551"/>
    <w:rPr>
      <w:b/>
    </w:rPr>
  </w:style>
  <w:style w:type="character" w:styleId="a9">
    <w:name w:val="Hyperlink"/>
    <w:basedOn w:val="a1"/>
    <w:uiPriority w:val="99"/>
    <w:unhideWhenUsed/>
    <w:qFormat/>
    <w:rsid w:val="00D56551"/>
    <w:rPr>
      <w:color w:val="0000FF" w:themeColor="hyperlink"/>
      <w:u w:val="single"/>
    </w:rPr>
  </w:style>
  <w:style w:type="character" w:customStyle="1" w:styleId="HeaderChar">
    <w:name w:val="Header Char"/>
    <w:basedOn w:val="a1"/>
    <w:uiPriority w:val="99"/>
    <w:semiHidden/>
    <w:qFormat/>
    <w:rsid w:val="00D56551"/>
    <w:rPr>
      <w:rFonts w:ascii="Times New Roman" w:hAnsi="Times New Roman"/>
      <w:sz w:val="18"/>
      <w:szCs w:val="18"/>
    </w:rPr>
  </w:style>
  <w:style w:type="character" w:customStyle="1" w:styleId="Char2">
    <w:name w:val="页眉 Char"/>
    <w:link w:val="a7"/>
    <w:uiPriority w:val="99"/>
    <w:semiHidden/>
    <w:qFormat/>
    <w:locked/>
    <w:rsid w:val="00D56551"/>
    <w:rPr>
      <w:sz w:val="18"/>
    </w:rPr>
  </w:style>
  <w:style w:type="character" w:customStyle="1" w:styleId="FooterChar">
    <w:name w:val="Footer Char"/>
    <w:basedOn w:val="a1"/>
    <w:uiPriority w:val="99"/>
    <w:semiHidden/>
    <w:qFormat/>
    <w:rsid w:val="00D56551"/>
    <w:rPr>
      <w:rFonts w:ascii="Times New Roman" w:hAnsi="Times New Roman"/>
      <w:sz w:val="18"/>
      <w:szCs w:val="18"/>
    </w:rPr>
  </w:style>
  <w:style w:type="character" w:customStyle="1" w:styleId="Char1">
    <w:name w:val="页脚 Char"/>
    <w:link w:val="a6"/>
    <w:uiPriority w:val="99"/>
    <w:qFormat/>
    <w:locked/>
    <w:rsid w:val="00D56551"/>
    <w:rPr>
      <w:sz w:val="18"/>
    </w:rPr>
  </w:style>
  <w:style w:type="character" w:customStyle="1" w:styleId="BodyTextChar">
    <w:name w:val="Body Text Char"/>
    <w:basedOn w:val="a1"/>
    <w:uiPriority w:val="99"/>
    <w:semiHidden/>
    <w:qFormat/>
    <w:rsid w:val="00D56551"/>
    <w:rPr>
      <w:rFonts w:ascii="Times New Roman" w:hAnsi="Times New Roman"/>
      <w:szCs w:val="24"/>
    </w:rPr>
  </w:style>
  <w:style w:type="character" w:customStyle="1" w:styleId="Char">
    <w:name w:val="正文文本 Char"/>
    <w:link w:val="a0"/>
    <w:uiPriority w:val="99"/>
    <w:qFormat/>
    <w:locked/>
    <w:rsid w:val="00D56551"/>
    <w:rPr>
      <w:rFonts w:ascii="仿宋_GB2312" w:eastAsia="仿宋_GB2312" w:hAnsi="Times New Roman"/>
      <w:sz w:val="24"/>
    </w:rPr>
  </w:style>
  <w:style w:type="paragraph" w:customStyle="1" w:styleId="Default">
    <w:name w:val="Default"/>
    <w:uiPriority w:val="99"/>
    <w:qFormat/>
    <w:rsid w:val="00D56551"/>
    <w:pPr>
      <w:widowControl w:val="0"/>
      <w:autoSpaceDE w:val="0"/>
      <w:autoSpaceDN w:val="0"/>
      <w:adjustRightInd w:val="0"/>
    </w:pPr>
    <w:rPr>
      <w:rFonts w:ascii="仿宋" w:eastAsia="仿宋" w:hAnsi="Calibri" w:cs="仿宋"/>
      <w:color w:val="000000"/>
      <w:sz w:val="24"/>
      <w:szCs w:val="24"/>
    </w:rPr>
  </w:style>
  <w:style w:type="paragraph" w:styleId="aa">
    <w:name w:val="List Paragraph"/>
    <w:basedOn w:val="a"/>
    <w:uiPriority w:val="34"/>
    <w:qFormat/>
    <w:rsid w:val="00D56551"/>
    <w:pPr>
      <w:ind w:firstLineChars="200" w:firstLine="420"/>
    </w:pPr>
  </w:style>
  <w:style w:type="character" w:customStyle="1" w:styleId="1Char">
    <w:name w:val="标题 1 Char"/>
    <w:basedOn w:val="a1"/>
    <w:link w:val="1"/>
    <w:uiPriority w:val="9"/>
    <w:qFormat/>
    <w:rsid w:val="00D56551"/>
    <w:rPr>
      <w:rFonts w:ascii="Times New Roman" w:hAnsi="Times New Roman"/>
      <w:b/>
      <w:bCs/>
      <w:kern w:val="44"/>
      <w:sz w:val="44"/>
      <w:szCs w:val="44"/>
    </w:rPr>
  </w:style>
  <w:style w:type="character" w:customStyle="1" w:styleId="2Char">
    <w:name w:val="标题 2 Char"/>
    <w:basedOn w:val="a1"/>
    <w:link w:val="2"/>
    <w:uiPriority w:val="9"/>
    <w:qFormat/>
    <w:rsid w:val="00D56551"/>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D5655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5"/>
    <w:uiPriority w:val="99"/>
    <w:semiHidden/>
    <w:qFormat/>
    <w:rsid w:val="00D56551"/>
    <w:rPr>
      <w:rFonts w:ascii="Times New Roman" w:hAnsi="Times New Roman"/>
      <w:kern w:val="2"/>
      <w:sz w:val="18"/>
      <w:szCs w:val="18"/>
    </w:rPr>
  </w:style>
  <w:style w:type="character" w:customStyle="1" w:styleId="3Char">
    <w:name w:val="标题 3 Char"/>
    <w:basedOn w:val="a1"/>
    <w:link w:val="3"/>
    <w:uiPriority w:val="9"/>
    <w:qFormat/>
    <w:rsid w:val="00D56551"/>
    <w:rPr>
      <w:rFonts w:ascii="Times New Roman" w:hAnsi="Times New Roman"/>
      <w:b/>
      <w:bCs/>
      <w:kern w:val="2"/>
      <w:sz w:val="32"/>
      <w:szCs w:val="32"/>
    </w:rPr>
  </w:style>
  <w:style w:type="paragraph" w:customStyle="1" w:styleId="TOC2">
    <w:name w:val="TOC 标题2"/>
    <w:basedOn w:val="1"/>
    <w:next w:val="a"/>
    <w:uiPriority w:val="39"/>
    <w:unhideWhenUsed/>
    <w:qFormat/>
    <w:rsid w:val="00D5655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41">
    <w:name w:val="font41"/>
    <w:basedOn w:val="a1"/>
    <w:qFormat/>
    <w:rsid w:val="00D56551"/>
    <w:rPr>
      <w:rFonts w:ascii="宋体" w:eastAsia="宋体" w:hAnsi="宋体" w:cs="宋体" w:hint="eastAsia"/>
      <w:color w:val="000000"/>
      <w:sz w:val="16"/>
      <w:szCs w:val="16"/>
      <w:u w:val="none"/>
    </w:rPr>
  </w:style>
  <w:style w:type="character" w:customStyle="1" w:styleId="font51">
    <w:name w:val="font51"/>
    <w:basedOn w:val="a1"/>
    <w:qFormat/>
    <w:rsid w:val="00D56551"/>
    <w:rPr>
      <w:rFonts w:ascii="宋体" w:eastAsia="宋体" w:hAnsi="宋体" w:cs="宋体" w:hint="eastAsia"/>
      <w:i/>
      <w:iCs/>
      <w:color w:val="000000"/>
      <w:sz w:val="16"/>
      <w:szCs w:val="16"/>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收、支决算总计情况变动图（万元）</a:t>
            </a:r>
            <a:r>
              <a:rPr lang="en-US" altLang="zh-CN"/>
              <a:t>    </a:t>
            </a:r>
          </a:p>
        </c:rich>
      </c:tx>
      <c:layout>
        <c:manualLayout>
          <c:xMode val="edge"/>
          <c:yMode val="edge"/>
          <c:x val="0.22607326252121801"/>
          <c:y val="3.1747918167320519E-2"/>
        </c:manualLayout>
      </c:layout>
      <c:spPr>
        <a:noFill/>
        <a:ln>
          <a:noFill/>
        </a:ln>
        <a:effectLst/>
      </c:spPr>
    </c:title>
    <c:plotArea>
      <c:layout/>
      <c:barChart>
        <c:barDir val="col"/>
        <c:grouping val="clustered"/>
        <c:ser>
          <c:idx val="0"/>
          <c:order val="0"/>
          <c:tx>
            <c:strRef>
              <c:f>[工作簿1]Sheet1!$A$3</c:f>
              <c:strCache>
                <c:ptCount val="1"/>
                <c:pt idx="0">
                  <c:v>总收入</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[工作簿1]Sheet1!$B$2:$C$2</c:f>
              <c:strCache>
                <c:ptCount val="2"/>
                <c:pt idx="0">
                  <c:v>2021年</c:v>
                </c:pt>
                <c:pt idx="1">
                  <c:v>2022年</c:v>
                </c:pt>
              </c:strCache>
            </c:strRef>
          </c:cat>
          <c:val>
            <c:numRef>
              <c:f>[工作簿1]Sheet1!$B$3:$C$3</c:f>
              <c:numCache>
                <c:formatCode>General</c:formatCode>
                <c:ptCount val="2"/>
                <c:pt idx="0">
                  <c:v>57986.61</c:v>
                </c:pt>
                <c:pt idx="1">
                  <c:v>60587.950000000012</c:v>
                </c:pt>
              </c:numCache>
            </c:numRef>
          </c:val>
        </c:ser>
        <c:ser>
          <c:idx val="1"/>
          <c:order val="1"/>
          <c:tx>
            <c:strRef>
              <c:f>[工作簿1]Sheet1!$A$4</c:f>
              <c:strCache>
                <c:ptCount val="1"/>
                <c:pt idx="0">
                  <c:v>总支出</c:v>
                </c:pt>
              </c:strCache>
            </c:strRef>
          </c:tx>
          <c:spPr>
            <a:solidFill>
              <a:schemeClr val="accent2"/>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[工作簿1]Sheet1!$B$2:$C$2</c:f>
              <c:strCache>
                <c:ptCount val="2"/>
                <c:pt idx="0">
                  <c:v>2021年</c:v>
                </c:pt>
                <c:pt idx="1">
                  <c:v>2022年</c:v>
                </c:pt>
              </c:strCache>
            </c:strRef>
          </c:cat>
          <c:val>
            <c:numRef>
              <c:f>[工作簿1]Sheet1!$B$4:$C$4</c:f>
              <c:numCache>
                <c:formatCode>#,##0.00</c:formatCode>
                <c:ptCount val="2"/>
                <c:pt idx="0" formatCode="General">
                  <c:v>62971.51</c:v>
                </c:pt>
                <c:pt idx="1">
                  <c:v>63808.82</c:v>
                </c:pt>
              </c:numCache>
            </c:numRef>
          </c:val>
        </c:ser>
        <c:dLbls>
          <c:showVal val="1"/>
        </c:dLbls>
        <c:gapWidth val="219"/>
        <c:overlap val="-27"/>
        <c:axId val="275045376"/>
        <c:axId val="268374784"/>
      </c:barChart>
      <c:catAx>
        <c:axId val="275045376"/>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68374784"/>
        <c:crosses val="autoZero"/>
        <c:auto val="1"/>
        <c:lblAlgn val="ctr"/>
        <c:lblOffset val="100"/>
      </c:catAx>
      <c:valAx>
        <c:axId val="26837478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75045376"/>
        <c:crosses val="autoZero"/>
        <c:crossBetween val="between"/>
      </c:valAx>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2022年收入决算结构图</a:t>
            </a:r>
            <a:r>
              <a:rPr lang="en-US" altLang="zh-CN"/>
              <a:t> </a:t>
            </a:r>
            <a:r>
              <a:rPr altLang="en-US"/>
              <a:t>（万元）</a:t>
            </a:r>
            <a:r>
              <a:rPr lang="en-US" altLang="zh-CN"/>
              <a:t>  </a:t>
            </a:r>
          </a:p>
        </c:rich>
      </c:tx>
      <c:spPr>
        <a:noFill/>
        <a:ln>
          <a:noFill/>
        </a:ln>
        <a:effectLst/>
      </c:spPr>
    </c:title>
    <c:plotArea>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Lbls>
            <c:dLbl>
              <c:idx val="0"/>
              <c:layout>
                <c:manualLayout>
                  <c:x val="-0.14408394602866001"/>
                  <c:y val="-0.11382434810220902"/>
                </c:manualLayout>
              </c:layout>
              <c:dLblPos val="bestFit"/>
              <c:showVal val="1"/>
              <c:extLst>
                <c:ext xmlns:c15="http://schemas.microsoft.com/office/drawing/2012/chart" uri="{CE6537A1-D6FC-4f65-9D91-7224C49458BB}">
                  <c15:layout/>
                </c:ext>
              </c:extLst>
            </c:dLbl>
            <c:dLbl>
              <c:idx val="2"/>
              <c:layout>
                <c:manualLayout>
                  <c:x val="4.3233405699465606E-3"/>
                  <c:y val="2.4124398067492503E-2"/>
                </c:manualLayout>
              </c:layout>
              <c:dLblPos val="bestFit"/>
              <c:showVal val="1"/>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200" b="1"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endParaRPr lang="zh-CN"/>
              </a:p>
            </c:txPr>
            <c:dLblPos val="bestFit"/>
            <c:showVal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[工作簿1]Sheet1!$A$8:$A$10</c:f>
              <c:strCache>
                <c:ptCount val="3"/>
                <c:pt idx="0">
                  <c:v>一般公共预算财政拨款收入</c:v>
                </c:pt>
                <c:pt idx="1">
                  <c:v>事业收入</c:v>
                </c:pt>
                <c:pt idx="2">
                  <c:v>其他收入</c:v>
                </c:pt>
              </c:strCache>
            </c:strRef>
          </c:cat>
          <c:val>
            <c:numRef>
              <c:f>[工作簿1]Sheet1!$B$8:$B$10</c:f>
              <c:numCache>
                <c:formatCode>General</c:formatCode>
                <c:ptCount val="3"/>
                <c:pt idx="0">
                  <c:v>42939.93</c:v>
                </c:pt>
                <c:pt idx="1">
                  <c:v>15449.98</c:v>
                </c:pt>
                <c:pt idx="2">
                  <c:v>2198.04</c:v>
                </c:pt>
              </c:numCache>
            </c:numRef>
          </c:val>
        </c:ser>
        <c:dLbls>
          <c:showVal val="1"/>
        </c:dLbls>
        <c:firstSliceAng val="0"/>
      </c:pie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lang="en-US" altLang="zh-CN"/>
              <a:t>2022</a:t>
            </a:r>
            <a:r>
              <a:rPr altLang="en-US"/>
              <a:t>年支出决算结构图</a:t>
            </a:r>
            <a:endParaRPr lang="en-US" altLang="zh-CN"/>
          </a:p>
        </c:rich>
      </c:tx>
      <c:spPr>
        <a:noFill/>
        <a:ln>
          <a:noFill/>
        </a:ln>
        <a:effectLst/>
      </c:spPr>
    </c:title>
    <c:plotArea>
      <c:layout/>
      <c:pieChart>
        <c:varyColors val="1"/>
        <c:ser>
          <c:idx val="0"/>
          <c:order val="0"/>
          <c:dPt>
            <c:idx val="0"/>
            <c:spPr>
              <a:solidFill>
                <a:schemeClr val="accent1"/>
              </a:solidFill>
              <a:ln>
                <a:solidFill>
                  <a:schemeClr val="bg1"/>
                </a:solidFill>
              </a:ln>
              <a:effectLst/>
            </c:spPr>
          </c:dPt>
          <c:dPt>
            <c:idx val="1"/>
            <c:spPr>
              <a:solidFill>
                <a:schemeClr val="accent2"/>
              </a:solidFill>
              <a:ln>
                <a:solidFill>
                  <a:schemeClr val="bg1"/>
                </a:solidFill>
              </a:ln>
              <a:effectLst/>
            </c:spPr>
          </c:dPt>
          <c:dLbls>
            <c:dLbl>
              <c:idx val="0"/>
              <c:tx>
                <c:rich>
                  <a:bodyPr/>
                  <a:lstStyle/>
                  <a:p>
                    <a:r>
                      <a:rPr sz="1200" u="none" strike="noStrike" cap="none" normalizeH="0">
                        <a:solidFill>
                          <a:schemeClr val="tx1">
                            <a:lumMod val="75000"/>
                            <a:lumOff val="25000"/>
                          </a:schemeClr>
                        </a:solidFill>
                        <a:uFill>
                          <a:solidFill>
                            <a:schemeClr val="tx1">
                              <a:lumMod val="75000"/>
                              <a:lumOff val="25000"/>
                            </a:schemeClr>
                          </a:solidFill>
                        </a:uFill>
                      </a:rPr>
                      <a:t>62.28</a:t>
                    </a:r>
                    <a:r>
                      <a:rPr lang="en-US" altLang="zh-CN" sz="1200" u="none" strike="noStrike" cap="none" normalizeH="0">
                        <a:solidFill>
                          <a:schemeClr val="tx1">
                            <a:lumMod val="75000"/>
                            <a:lumOff val="25000"/>
                          </a:schemeClr>
                        </a:solidFill>
                        <a:uFill>
                          <a:solidFill>
                            <a:schemeClr val="tx1">
                              <a:lumMod val="75000"/>
                              <a:lumOff val="25000"/>
                            </a:schemeClr>
                          </a:solidFill>
                        </a:uFill>
                      </a:rPr>
                      <a:t>%</a:t>
                    </a:r>
                  </a:p>
                </c:rich>
              </c:tx>
              <c:dLblPos val="bestFit"/>
              <c:showVal val="1"/>
              <c:extLst>
                <c:ext xmlns:c15="http://schemas.microsoft.com/office/drawing/2012/chart" uri="{CE6537A1-D6FC-4f65-9D91-7224C49458BB}"/>
              </c:extLst>
            </c:dLbl>
            <c:dLbl>
              <c:idx val="1"/>
              <c:layout>
                <c:manualLayout>
                  <c:x val="0.13903101718679406"/>
                  <c:y val="6.0326331919929518E-2"/>
                </c:manualLayout>
              </c:layout>
              <c:tx>
                <c:rich>
                  <a:bodyPr/>
                  <a:lstStyle/>
                  <a:p>
                    <a:r>
                      <a:rPr sz="1200" u="none" strike="noStrike" cap="none" normalizeH="0">
                        <a:solidFill>
                          <a:schemeClr val="tx1">
                            <a:lumMod val="75000"/>
                            <a:lumOff val="25000"/>
                          </a:schemeClr>
                        </a:solidFill>
                        <a:uFill>
                          <a:solidFill>
                            <a:schemeClr val="tx1">
                              <a:lumMod val="75000"/>
                              <a:lumOff val="25000"/>
                            </a:schemeClr>
                          </a:solidFill>
                        </a:uFill>
                      </a:rPr>
                      <a:t>37.72</a:t>
                    </a:r>
                    <a:r>
                      <a:rPr lang="en-US" altLang="zh-CN" sz="1200" u="none" strike="noStrike" cap="none" normalizeH="0">
                        <a:solidFill>
                          <a:schemeClr val="tx1">
                            <a:lumMod val="75000"/>
                            <a:lumOff val="25000"/>
                          </a:schemeClr>
                        </a:solidFill>
                        <a:uFill>
                          <a:solidFill>
                            <a:schemeClr val="tx1">
                              <a:lumMod val="75000"/>
                              <a:lumOff val="25000"/>
                            </a:schemeClr>
                          </a:solidFill>
                        </a:uFill>
                      </a:rPr>
                      <a:t>%</a:t>
                    </a:r>
                  </a:p>
                </c:rich>
              </c:tx>
              <c:dLblPos val="bestFit"/>
              <c:showVal val="1"/>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2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endParaRPr lang="zh-CN"/>
              </a:p>
            </c:txPr>
            <c:dLblPos val="bestFit"/>
            <c:showVal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[工作簿1]Sheet1!$A$1:$B$1</c:f>
              <c:strCache>
                <c:ptCount val="2"/>
                <c:pt idx="0">
                  <c:v>基本支出</c:v>
                </c:pt>
                <c:pt idx="1">
                  <c:v>项目支出</c:v>
                </c:pt>
              </c:strCache>
            </c:strRef>
          </c:cat>
          <c:val>
            <c:numRef>
              <c:f>[工作簿1]Sheet1!$A$2:$B$2</c:f>
              <c:numCache>
                <c:formatCode>General</c:formatCode>
                <c:ptCount val="2"/>
                <c:pt idx="0">
                  <c:v>62.28</c:v>
                </c:pt>
                <c:pt idx="1">
                  <c:v>37.720000000000013</c:v>
                </c:pt>
              </c:numCache>
            </c:numRef>
          </c:val>
        </c:ser>
        <c:dLbls>
          <c:showVal val="1"/>
        </c:dLbls>
        <c:firstSliceAng val="0"/>
      </c:pieChart>
      <c:spPr>
        <a:noFill/>
        <a:ln>
          <a:noFill/>
        </a:ln>
        <a:effectLst/>
      </c:spPr>
    </c:plotArea>
    <c:legend>
      <c:legendPos val="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财政拨款收、支总计决算变动情况</a:t>
            </a:r>
            <a:r>
              <a:rPr lang="en-US" altLang="zh-CN"/>
              <a:t>  </a:t>
            </a:r>
          </a:p>
          <a:p>
            <a:pPr defTabSz="914400">
              <a:defRPr lang="zh-CN" sz="1400" b="1" i="0" u="none" strike="noStrike" kern="1200" baseline="0">
                <a:solidFill>
                  <a:schemeClr val="dk1">
                    <a:lumMod val="75000"/>
                    <a:lumOff val="25000"/>
                  </a:schemeClr>
                </a:solidFill>
                <a:latin typeface="+mn-lt"/>
                <a:ea typeface="+mn-ea"/>
                <a:cs typeface="+mn-cs"/>
              </a:defRPr>
            </a:pPr>
            <a:r>
              <a:rPr altLang="en-US"/>
              <a:t>（万元）</a:t>
            </a:r>
            <a:endParaRPr lang="en-US" altLang="zh-CN"/>
          </a:p>
        </c:rich>
      </c:tx>
      <c:layout>
        <c:manualLayout>
          <c:xMode val="edge"/>
          <c:yMode val="edge"/>
          <c:x val="0.233891127198876"/>
          <c:y val="2.1409455842997308E-2"/>
        </c:manualLayout>
      </c:layout>
      <c:spPr>
        <a:noFill/>
        <a:ln>
          <a:noFill/>
        </a:ln>
        <a:effectLst/>
      </c:spPr>
    </c:title>
    <c:plotArea>
      <c:layout/>
      <c:barChart>
        <c:barDir val="col"/>
        <c:grouping val="clustered"/>
        <c:ser>
          <c:idx val="0"/>
          <c:order val="0"/>
          <c:tx>
            <c:strRef>
              <c:f>[工作簿1]Sheet1!$A$30</c:f>
              <c:strCache>
                <c:ptCount val="1"/>
                <c:pt idx="0">
                  <c:v>2021年</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[工作簿1]Sheet1!$B$29:$C$29</c:f>
              <c:strCache>
                <c:ptCount val="2"/>
                <c:pt idx="0">
                  <c:v>财政拨款收入</c:v>
                </c:pt>
                <c:pt idx="1">
                  <c:v>财政拨款支出</c:v>
                </c:pt>
              </c:strCache>
            </c:strRef>
          </c:cat>
          <c:val>
            <c:numRef>
              <c:f>[工作簿1]Sheet1!$B$30:$C$30</c:f>
              <c:numCache>
                <c:formatCode>General</c:formatCode>
                <c:ptCount val="2"/>
                <c:pt idx="0">
                  <c:v>40754.54</c:v>
                </c:pt>
                <c:pt idx="1">
                  <c:v>40754.54</c:v>
                </c:pt>
              </c:numCache>
            </c:numRef>
          </c:val>
        </c:ser>
        <c:ser>
          <c:idx val="1"/>
          <c:order val="1"/>
          <c:tx>
            <c:strRef>
              <c:f>[工作簿1]Sheet1!$A$31</c:f>
              <c:strCache>
                <c:ptCount val="1"/>
                <c:pt idx="0">
                  <c:v>2022年</c:v>
                </c:pt>
              </c:strCache>
            </c:strRef>
          </c:tx>
          <c:spPr>
            <a:solidFill>
              <a:schemeClr val="accent2"/>
            </a:solidFill>
            <a:ln>
              <a:noFill/>
            </a:ln>
            <a:effectLst/>
          </c:spP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[工作簿1]Sheet1!$B$29:$C$29</c:f>
              <c:strCache>
                <c:ptCount val="2"/>
                <c:pt idx="0">
                  <c:v>财政拨款收入</c:v>
                </c:pt>
                <c:pt idx="1">
                  <c:v>财政拨款支出</c:v>
                </c:pt>
              </c:strCache>
            </c:strRef>
          </c:cat>
          <c:val>
            <c:numRef>
              <c:f>[工作簿1]Sheet1!$B$31:$C$31</c:f>
              <c:numCache>
                <c:formatCode>General</c:formatCode>
                <c:ptCount val="2"/>
                <c:pt idx="0">
                  <c:v>42939.93</c:v>
                </c:pt>
                <c:pt idx="1">
                  <c:v>42939.93</c:v>
                </c:pt>
              </c:numCache>
            </c:numRef>
          </c:val>
        </c:ser>
        <c:dLbls>
          <c:showVal val="1"/>
        </c:dLbls>
        <c:gapWidth val="246"/>
        <c:overlap val="-28"/>
        <c:axId val="275073664"/>
        <c:axId val="275095936"/>
      </c:barChart>
      <c:catAx>
        <c:axId val="275073664"/>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75095936"/>
        <c:crosses val="autoZero"/>
        <c:auto val="1"/>
        <c:lblAlgn val="ctr"/>
        <c:lblOffset val="100"/>
      </c:catAx>
      <c:valAx>
        <c:axId val="275095936"/>
        <c:scaling>
          <c:orientation val="minMax"/>
        </c:scaling>
        <c:axPos val="l"/>
        <c:majorGridlines>
          <c:spPr>
            <a:ln w="9525" cap="flat" cmpd="sng" algn="ctr">
              <a:solidFill>
                <a:schemeClr val="bg1">
                  <a:lumMod val="902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75073664"/>
        <c:crosses val="autoZero"/>
        <c:crossBetween val="between"/>
      </c:valAx>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一般公共预算财政拨款支出决算变动情况</a:t>
            </a:r>
            <a:r>
              <a:rPr lang="en-US" altLang="zh-CN"/>
              <a:t> </a:t>
            </a:r>
          </a:p>
          <a:p>
            <a:pPr defTabSz="914400">
              <a:defRPr lang="zh-CN" sz="1400" b="1" i="0" u="none" strike="noStrike" kern="1200" baseline="0">
                <a:solidFill>
                  <a:schemeClr val="dk1">
                    <a:lumMod val="75000"/>
                    <a:lumOff val="25000"/>
                  </a:schemeClr>
                </a:solidFill>
                <a:latin typeface="+mn-lt"/>
                <a:ea typeface="+mn-ea"/>
                <a:cs typeface="+mn-cs"/>
              </a:defRPr>
            </a:pPr>
            <a:r>
              <a:rPr altLang="en-US"/>
              <a:t>（万元）</a:t>
            </a:r>
            <a:endParaRPr lang="en-US" altLang="zh-CN"/>
          </a:p>
        </c:rich>
      </c:tx>
      <c:layout>
        <c:manualLayout>
          <c:xMode val="edge"/>
          <c:yMode val="edge"/>
          <c:x val="0.16934210526315796"/>
          <c:y val="3.125E-2"/>
        </c:manualLayout>
      </c:layout>
      <c:spPr>
        <a:noFill/>
        <a:ln>
          <a:noFill/>
        </a:ln>
        <a:effectLst/>
      </c:spPr>
    </c:title>
    <c:plotArea>
      <c:layout/>
      <c:barChart>
        <c:barDir val="col"/>
        <c:grouping val="clustered"/>
        <c:ser>
          <c:idx val="0"/>
          <c:order val="0"/>
          <c:tx>
            <c:strRef>
              <c:f>[工作簿1]Sheet1!$B$60</c:f>
              <c:strCache>
                <c:ptCount val="1"/>
                <c:pt idx="0">
                  <c:v>一般公共预算财政拨款支出</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[工作簿1]Sheet1!$A$61:$A$62</c:f>
              <c:strCache>
                <c:ptCount val="2"/>
                <c:pt idx="0">
                  <c:v>2021年</c:v>
                </c:pt>
                <c:pt idx="1">
                  <c:v>2022年</c:v>
                </c:pt>
              </c:strCache>
            </c:strRef>
          </c:cat>
          <c:val>
            <c:numRef>
              <c:f>[工作簿1]Sheet1!$B$61:$B$62</c:f>
              <c:numCache>
                <c:formatCode>General</c:formatCode>
                <c:ptCount val="2"/>
                <c:pt idx="0">
                  <c:v>40754.54</c:v>
                </c:pt>
                <c:pt idx="1">
                  <c:v>42939.93</c:v>
                </c:pt>
              </c:numCache>
            </c:numRef>
          </c:val>
        </c:ser>
        <c:dLbls>
          <c:showVal val="1"/>
        </c:dLbls>
        <c:gapWidth val="246"/>
        <c:overlap val="-28"/>
        <c:axId val="275190144"/>
        <c:axId val="275191680"/>
      </c:barChart>
      <c:catAx>
        <c:axId val="275190144"/>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75191680"/>
        <c:crosses val="autoZero"/>
        <c:auto val="1"/>
        <c:lblAlgn val="ctr"/>
        <c:lblOffset val="100"/>
      </c:catAx>
      <c:valAx>
        <c:axId val="275191680"/>
        <c:scaling>
          <c:orientation val="minMax"/>
          <c:min val="0"/>
        </c:scaling>
        <c:axPos val="l"/>
        <c:majorGridlines>
          <c:spPr>
            <a:ln w="9525" cap="flat" cmpd="sng" algn="ctr">
              <a:solidFill>
                <a:schemeClr val="bg1">
                  <a:lumMod val="902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75190144"/>
        <c:crosses val="autoZero"/>
        <c:crossBetween val="between"/>
        <c:majorUnit val="5000"/>
      </c:valAx>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一般公共预算财政拨款支出决算结构情况</a:t>
            </a:r>
            <a:r>
              <a:rPr lang="en-US" altLang="zh-CN"/>
              <a:t>  </a:t>
            </a:r>
            <a:r>
              <a:rPr altLang="en-US"/>
              <a:t>（</a:t>
            </a:r>
            <a:r>
              <a:rPr lang="en-US" altLang="zh-CN"/>
              <a:t>%</a:t>
            </a:r>
            <a:r>
              <a:rPr altLang="en-US"/>
              <a:t>）</a:t>
            </a:r>
          </a:p>
          <a:p>
            <a:pPr defTabSz="914400">
              <a:defRPr lang="zh-CN" sz="1400" b="1" i="0" u="none" strike="noStrike" kern="1200" baseline="0">
                <a:solidFill>
                  <a:schemeClr val="dk1">
                    <a:lumMod val="75000"/>
                    <a:lumOff val="25000"/>
                  </a:schemeClr>
                </a:solidFill>
                <a:latin typeface="+mn-lt"/>
                <a:ea typeface="+mn-ea"/>
                <a:cs typeface="+mn-cs"/>
              </a:defRPr>
            </a:pPr>
            <a:endParaRPr/>
          </a:p>
        </c:rich>
      </c:tx>
      <c:spPr>
        <a:noFill/>
        <a:ln>
          <a:noFill/>
        </a:ln>
        <a:effectLst/>
      </c:spPr>
    </c:title>
    <c:plotArea>
      <c:layout/>
      <c:pieChart>
        <c:varyColors val="1"/>
        <c:ser>
          <c:idx val="0"/>
          <c:order val="0"/>
          <c:tx>
            <c:strRef>
              <c:f>[工作簿1]Sheet1!$B$81</c:f>
              <c:strCache>
                <c:ptCount val="1"/>
                <c:pt idx="0">
                  <c:v>一般公共预算财政拨款支出决算结构情况
</c:v>
                </c:pt>
              </c:strCache>
            </c:strRef>
          </c:tx>
          <c:dPt>
            <c:idx val="0"/>
            <c:spPr>
              <a:solidFill>
                <a:schemeClr val="accent1"/>
              </a:solidFill>
              <a:ln>
                <a:solidFill>
                  <a:schemeClr val="bg1"/>
                </a:solidFill>
              </a:ln>
              <a:effectLst/>
            </c:spPr>
          </c:dPt>
          <c:dPt>
            <c:idx val="1"/>
            <c:spPr>
              <a:solidFill>
                <a:schemeClr val="accent2"/>
              </a:solidFill>
              <a:ln>
                <a:solidFill>
                  <a:schemeClr val="bg1"/>
                </a:solidFill>
              </a:ln>
              <a:effectLst/>
            </c:spPr>
          </c:dPt>
          <c:dPt>
            <c:idx val="2"/>
            <c:spPr>
              <a:solidFill>
                <a:schemeClr val="accent3"/>
              </a:solidFill>
              <a:ln>
                <a:solidFill>
                  <a:schemeClr val="bg1"/>
                </a:solidFill>
              </a:ln>
              <a:effectLst/>
            </c:spPr>
          </c:dPt>
          <c:dPt>
            <c:idx val="3"/>
            <c:spPr>
              <a:solidFill>
                <a:schemeClr val="accent4"/>
              </a:solidFill>
              <a:ln>
                <a:solidFill>
                  <a:schemeClr val="bg1"/>
                </a:solidFill>
              </a:ln>
              <a:effectLst/>
            </c:spPr>
          </c:dPt>
          <c:dPt>
            <c:idx val="4"/>
            <c:spPr>
              <a:solidFill>
                <a:schemeClr val="accent5"/>
              </a:solidFill>
              <a:ln>
                <a:solidFill>
                  <a:schemeClr val="bg1"/>
                </a:solidFill>
              </a:ln>
              <a:effectLst/>
            </c:spPr>
          </c:dPt>
          <c:dPt>
            <c:idx val="5"/>
            <c:spPr>
              <a:solidFill>
                <a:schemeClr val="accent6"/>
              </a:solidFill>
              <a:ln>
                <a:solidFill>
                  <a:schemeClr val="bg1"/>
                </a:solidFill>
              </a:ln>
              <a:effectLst/>
            </c:spPr>
          </c:dPt>
          <c:dLbls>
            <c:dLbl>
              <c:idx val="0"/>
              <c:layout>
                <c:manualLayout>
                  <c:x val="-5.1579513912316313E-2"/>
                  <c:y val="-2.0865562217259114E-2"/>
                </c:manualLayout>
              </c:layout>
              <c:dLblPos val="bestFit"/>
              <c:showVal val="1"/>
              <c:extLst>
                <c:ext xmlns:c15="http://schemas.microsoft.com/office/drawing/2012/chart" uri="{CE6537A1-D6FC-4f65-9D91-7224C49458BB}">
                  <c15:layout/>
                </c:ext>
              </c:extLst>
            </c:dLbl>
            <c:dLbl>
              <c:idx val="1"/>
              <c:layout>
                <c:manualLayout>
                  <c:x val="-7.319688497098892E-3"/>
                  <c:y val="-0.29345932137461322"/>
                </c:manualLayout>
              </c:layout>
              <c:dLblPos val="bestFit"/>
              <c:showVal val="1"/>
              <c:extLst>
                <c:ext xmlns:c15="http://schemas.microsoft.com/office/drawing/2012/chart" uri="{CE6537A1-D6FC-4f65-9D91-7224C49458BB}">
                  <c15:layout/>
                </c:ext>
              </c:extLst>
            </c:dLbl>
            <c:dLbl>
              <c:idx val="2"/>
              <c:layout>
                <c:manualLayout>
                  <c:x val="9.302850249472995E-2"/>
                  <c:y val="-8.8945632613724439E-3"/>
                </c:manualLayout>
              </c:layout>
              <c:dLblPos val="bestFit"/>
              <c:showVal val="1"/>
              <c:extLst>
                <c:ext xmlns:c15="http://schemas.microsoft.com/office/drawing/2012/chart" uri="{CE6537A1-D6FC-4f65-9D91-7224C49458BB}">
                  <c15:layout/>
                </c:ext>
              </c:extLst>
            </c:dLbl>
            <c:dLbl>
              <c:idx val="3"/>
              <c:layout>
                <c:manualLayout>
                  <c:x val="-0.10326066607911603"/>
                  <c:y val="-1.28852572024958E-2"/>
                </c:manualLayout>
              </c:layout>
              <c:dLblPos val="bestFit"/>
              <c:showVal val="1"/>
              <c:extLst>
                <c:ext xmlns:c15="http://schemas.microsoft.com/office/drawing/2012/chart" uri="{CE6537A1-D6FC-4f65-9D91-7224C49458BB}">
                  <c15:layout/>
                </c:ext>
              </c:extLst>
            </c:dLbl>
            <c:dLbl>
              <c:idx val="4"/>
              <c:layout>
                <c:manualLayout>
                  <c:x val="-0.198973817615202"/>
                  <c:y val="2.7043374316851318E-2"/>
                </c:manualLayout>
              </c:layout>
              <c:dLblPos val="bestFit"/>
              <c:showVal val="1"/>
              <c:extLst>
                <c:ext xmlns:c15="http://schemas.microsoft.com/office/drawing/2012/chart" uri="{CE6537A1-D6FC-4f65-9D91-7224C49458BB}">
                  <c15:layout/>
                </c:ext>
              </c:extLst>
            </c:dLbl>
            <c:dLbl>
              <c:idx val="5"/>
              <c:layout>
                <c:manualLayout>
                  <c:x val="0.129129501051993"/>
                  <c:y val="1.7063606548309903E-2"/>
                </c:manualLayout>
              </c:layout>
              <c:tx>
                <c:rich>
                  <a:bodyPr/>
                  <a:lstStyle/>
                  <a:p>
                    <a:r>
                      <a:rPr sz="1200" b="1" u="none" strike="noStrike" cap="none" normalizeH="0">
                        <a:solidFill>
                          <a:schemeClr val="tx1">
                            <a:lumMod val="75000"/>
                            <a:lumOff val="25000"/>
                          </a:schemeClr>
                        </a:solidFill>
                        <a:uFill>
                          <a:solidFill>
                            <a:schemeClr val="tx1">
                              <a:lumMod val="75000"/>
                              <a:lumOff val="25000"/>
                            </a:schemeClr>
                          </a:solidFill>
                        </a:uFill>
                      </a:rPr>
                      <a:t>0.23</a:t>
                    </a:r>
                  </a:p>
                </c:rich>
              </c:tx>
              <c:dLblPos val="bestFit"/>
              <c:showVal val="1"/>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200" b="1"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endParaRPr lang="zh-CN"/>
              </a:p>
            </c:txPr>
            <c:dLblPos val="bestFit"/>
            <c:showVal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[工作簿1]Sheet1!$A$82:$A$87</c:f>
              <c:strCache>
                <c:ptCount val="6"/>
                <c:pt idx="0">
                  <c:v>一般公共服务支出</c:v>
                </c:pt>
                <c:pt idx="1">
                  <c:v>教育支出</c:v>
                </c:pt>
                <c:pt idx="2">
                  <c:v>科学技术支出</c:v>
                </c:pt>
                <c:pt idx="3">
                  <c:v>社会保障和就业支出</c:v>
                </c:pt>
                <c:pt idx="4">
                  <c:v>卫生健康支出</c:v>
                </c:pt>
                <c:pt idx="5">
                  <c:v>债务付息支出</c:v>
                </c:pt>
              </c:strCache>
            </c:strRef>
          </c:cat>
          <c:val>
            <c:numRef>
              <c:f>[工作簿1]Sheet1!$B$82:$B$87</c:f>
              <c:numCache>
                <c:formatCode>General</c:formatCode>
                <c:ptCount val="6"/>
                <c:pt idx="0">
                  <c:v>0.12000000000000002</c:v>
                </c:pt>
                <c:pt idx="1">
                  <c:v>98.22</c:v>
                </c:pt>
                <c:pt idx="2">
                  <c:v>0.4</c:v>
                </c:pt>
                <c:pt idx="3">
                  <c:v>4.0000000000000015E-2</c:v>
                </c:pt>
                <c:pt idx="4">
                  <c:v>0.99</c:v>
                </c:pt>
                <c:pt idx="5">
                  <c:v>0.23</c:v>
                </c:pt>
              </c:numCache>
            </c:numRef>
          </c:val>
        </c:ser>
        <c:dLbls>
          <c:showVal val="1"/>
        </c:dLbls>
        <c:firstSliceAng val="0"/>
      </c:pieChart>
      <c:spPr>
        <a:noFill/>
        <a:ln>
          <a:noFill/>
        </a:ln>
        <a:effectLst/>
      </c:spPr>
    </c:plotArea>
    <c:legend>
      <c:legendPos val="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41</Pages>
  <Words>3820</Words>
  <Characters>21774</Characters>
  <Application>Microsoft Office Word</Application>
  <DocSecurity>0</DocSecurity>
  <Lines>181</Lines>
  <Paragraphs>51</Paragraphs>
  <ScaleCrop>false</ScaleCrop>
  <Company>四川省财政厅</Company>
  <LinksUpToDate>false</LinksUpToDate>
  <CharactersWithSpaces>25543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微软用户</cp:lastModifiedBy>
  <cp:revision>33</cp:revision>
  <cp:lastPrinted>2023-08-31T01:45:00Z</cp:lastPrinted>
  <dcterms:created xsi:type="dcterms:W3CDTF">2020-08-05T01:49:00Z</dcterms:created>
  <dcterms:modified xsi:type="dcterms:W3CDTF">2023-09-06T01:39:00Z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75D8B4B099A3460788C0E12BF226E617_13</vt:lpwstr>
  </property>
</Properties>
</file>