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753A8">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2024年度四川省科学技术奖提名公示情况表</w:t>
      </w:r>
    </w:p>
    <w:p w14:paraId="6364733B">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（科技进步奖）</w:t>
      </w:r>
    </w:p>
    <w:p w14:paraId="15AEE8CB">
      <w:pPr>
        <w:spacing w:line="360" w:lineRule="auto"/>
        <w:jc w:val="center"/>
        <w:outlineLvl w:val="1"/>
        <w:rPr>
          <w:rFonts w:ascii="宋体" w:cs="Times New Roman"/>
          <w:b/>
          <w:color w:val="000000"/>
          <w:kern w:val="0"/>
          <w:sz w:val="28"/>
        </w:rPr>
      </w:pPr>
    </w:p>
    <w:p w14:paraId="76C1D7E7">
      <w:pPr>
        <w:spacing w:line="360" w:lineRule="auto"/>
        <w:jc w:val="center"/>
        <w:outlineLvl w:val="1"/>
        <w:rPr>
          <w:rFonts w:ascii="方正小标宋简体" w:eastAsia="方正小标宋简体"/>
          <w:spacing w:val="-14"/>
          <w:w w:val="85"/>
          <w:sz w:val="44"/>
          <w:szCs w:val="44"/>
        </w:rPr>
      </w:pPr>
      <w:r>
        <w:rPr>
          <w:rFonts w:hint="eastAsia" w:ascii="宋体" w:cs="Times New Roman"/>
          <w:b/>
          <w:color w:val="000000"/>
          <w:kern w:val="0"/>
          <w:sz w:val="28"/>
        </w:rPr>
        <w:t>一、项目基本情况</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9"/>
        <w:gridCol w:w="7360"/>
      </w:tblGrid>
      <w:tr w14:paraId="3257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44A1457C">
            <w:pPr>
              <w:spacing w:line="390" w:lineRule="exact"/>
              <w:jc w:val="center"/>
              <w:rPr>
                <w:rFonts w:ascii="宋体" w:cs="Times New Roman"/>
                <w:color w:val="000000"/>
              </w:rPr>
            </w:pPr>
            <w:r>
              <w:rPr>
                <w:rFonts w:hint="eastAsia" w:ascii="宋体" w:cs="Times New Roman"/>
                <w:color w:val="000000"/>
              </w:rPr>
              <w:t>项目名称</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755BF6B3">
            <w:pPr>
              <w:spacing w:line="390" w:lineRule="exact"/>
              <w:rPr>
                <w:rFonts w:ascii="宋体" w:cs="Times New Roman"/>
                <w:color w:val="000000"/>
              </w:rPr>
            </w:pPr>
            <w:r>
              <w:rPr>
                <w:rFonts w:hint="eastAsia" w:ascii="宋体" w:hAnsi="宋体" w:cs="宋体"/>
                <w:color w:val="000000"/>
                <w:szCs w:val="21"/>
              </w:rPr>
              <w:t>关键环境污染物检测技术的建立及致病机制的研究</w:t>
            </w:r>
          </w:p>
        </w:tc>
      </w:tr>
      <w:tr w14:paraId="77F0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03C47C5F">
            <w:pPr>
              <w:spacing w:line="390" w:lineRule="exact"/>
              <w:jc w:val="center"/>
              <w:rPr>
                <w:rFonts w:ascii="宋体" w:cs="Times New Roman"/>
                <w:color w:val="000000"/>
              </w:rPr>
            </w:pPr>
            <w:r>
              <w:rPr>
                <w:rFonts w:hint="eastAsia" w:ascii="宋体" w:cs="Times New Roman"/>
                <w:color w:val="000000"/>
              </w:rPr>
              <w:t>主要完成单位</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33517D55">
            <w:pPr>
              <w:spacing w:line="390" w:lineRule="exact"/>
              <w:rPr>
                <w:rFonts w:ascii="宋体" w:cs="Times New Roman"/>
                <w:color w:val="000000"/>
              </w:rPr>
            </w:pPr>
            <w:r>
              <w:rPr>
                <w:rFonts w:hint="eastAsia" w:ascii="宋体" w:cs="Times New Roman"/>
                <w:color w:val="000000"/>
              </w:rPr>
              <w:t>川北医学院   华中科技大学</w:t>
            </w:r>
          </w:p>
        </w:tc>
      </w:tr>
      <w:tr w14:paraId="75E2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784566CC">
            <w:pPr>
              <w:spacing w:line="390" w:lineRule="exact"/>
              <w:jc w:val="center"/>
              <w:rPr>
                <w:rFonts w:ascii="宋体" w:cs="Times New Roman"/>
                <w:color w:val="000000"/>
              </w:rPr>
            </w:pPr>
            <w:r>
              <w:rPr>
                <w:rFonts w:hint="eastAsia" w:ascii="宋体" w:cs="Times New Roman"/>
                <w:color w:val="000000"/>
              </w:rPr>
              <w:t>主要完成人</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23728977">
            <w:pPr>
              <w:spacing w:line="390" w:lineRule="exact"/>
              <w:rPr>
                <w:rFonts w:ascii="宋体" w:cs="Times New Roman"/>
                <w:color w:val="000000"/>
              </w:rPr>
            </w:pPr>
            <w:r>
              <w:rPr>
                <w:rFonts w:hint="eastAsia" w:ascii="宋体" w:cs="Times New Roman"/>
                <w:color w:val="000000"/>
              </w:rPr>
              <w:t>汤建才，荆涛，刘振中，罗荧萍，张蜀敏， 杜佐</w:t>
            </w:r>
          </w:p>
        </w:tc>
      </w:tr>
      <w:tr w14:paraId="2A0D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1" w:hRule="atLeast"/>
        </w:trPr>
        <w:tc>
          <w:tcPr>
            <w:tcW w:w="1609" w:type="dxa"/>
            <w:tcBorders>
              <w:top w:val="single" w:color="auto" w:sz="4" w:space="0"/>
              <w:left w:val="single" w:color="000000" w:sz="4" w:space="0"/>
              <w:bottom w:val="single" w:color="000000" w:sz="4" w:space="0"/>
              <w:right w:val="single" w:color="000000" w:sz="4" w:space="0"/>
            </w:tcBorders>
            <w:noWrap/>
            <w:vAlign w:val="center"/>
          </w:tcPr>
          <w:p w14:paraId="56A448D4">
            <w:pPr>
              <w:spacing w:line="390" w:lineRule="exact"/>
              <w:jc w:val="center"/>
              <w:rPr>
                <w:rFonts w:ascii="宋体" w:cs="Times New Roman"/>
                <w:color w:val="000000"/>
              </w:rPr>
            </w:pPr>
            <w:r>
              <w:rPr>
                <w:rFonts w:hint="eastAsia" w:ascii="宋体" w:cs="Times New Roman"/>
                <w:color w:val="000000"/>
              </w:rPr>
              <w:t>项目简介</w:t>
            </w:r>
          </w:p>
        </w:tc>
        <w:tc>
          <w:tcPr>
            <w:tcW w:w="7360" w:type="dxa"/>
            <w:tcBorders>
              <w:top w:val="single" w:color="auto" w:sz="4" w:space="0"/>
              <w:left w:val="single" w:color="000000" w:sz="4" w:space="0"/>
              <w:bottom w:val="single" w:color="000000" w:sz="4" w:space="0"/>
              <w:right w:val="single" w:color="000000" w:sz="4" w:space="0"/>
            </w:tcBorders>
            <w:noWrap/>
          </w:tcPr>
          <w:p w14:paraId="13FDC712">
            <w:pPr>
              <w:pStyle w:val="5"/>
              <w:ind w:firstLine="420"/>
              <w:rPr>
                <w:sz w:val="21"/>
                <w:szCs w:val="21"/>
              </w:rPr>
            </w:pPr>
            <w:r>
              <w:rPr>
                <w:rFonts w:hint="eastAsia"/>
                <w:sz w:val="21"/>
                <w:szCs w:val="21"/>
              </w:rPr>
              <w:t>环境污染物暴露评估是环境污染致人群健康危害研究的前提和基石。针对环境污染物暴露评估领域存在的样本基质复杂、方法繁琐耗时、致病机制不清等难题，项目组依托国家自然科学基金等课题，聚焦于关键环境污染物的识别、检测及致病机制的研究，取得了一系列原创性成果：</w:t>
            </w:r>
          </w:p>
          <w:p w14:paraId="48D54B7B">
            <w:pPr>
              <w:pStyle w:val="5"/>
              <w:spacing w:after="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创建各种复杂介质中多组分环境污染物分析及检测技术。项目组通过高通量毒性筛选和化学分析相结合，提出效应引导未知污染物分析技术。通过模拟蛋白质的基本组成，筛选并合成类氨基酸单体，制备仿生材料代替甲状腺转运蛋白，创建甲状腺素干扰毒性引导未知污染物分析方法，筛查准确率达95%以上，成本仅为国际推荐甲状腺转运蛋白评估方法的百分之一，并通过第三方机构验证。</w:t>
            </w:r>
          </w:p>
          <w:p w14:paraId="537D4795">
            <w:pPr>
              <w:pStyle w:val="5"/>
              <w:spacing w:after="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2.利用蛋白仿生及核酸适配体技术构建了双酚 A (BPA) 及其卤代类似物四溴双酚 A (TBBPA) 和四氯双酚 A (TCBPA)、镉离子、黄曲霉素、玉米赤烯酮及硫化氢等关键环境污染物的快速检测方法。</w:t>
            </w:r>
          </w:p>
          <w:p w14:paraId="6E45E5F4">
            <w:pPr>
              <w:pStyle w:val="5"/>
              <w:ind w:firstLine="0" w:firstLineChars="0"/>
              <w:rPr>
                <w:sz w:val="21"/>
                <w:szCs w:val="21"/>
              </w:rPr>
            </w:pPr>
            <w:r>
              <w:rPr>
                <w:rFonts w:hint="eastAsia" w:asciiTheme="minorEastAsia" w:hAnsiTheme="minorEastAsia" w:eastAsiaTheme="minorEastAsia"/>
                <w:sz w:val="21"/>
                <w:szCs w:val="21"/>
              </w:rPr>
              <w:t>3开展环境暴露污染物致病机制及干预的研究。项目组阐明了黄曲霉素、N-甲基-N'-硝基-N-亚硝基胍（MNNG）、三甲基氯化锡(TMT)、邻苯二甲酸酯等环境污染物致病新机制。发现叶酸等在环境污染物诱导的多个细胞动物模型中具有重要的干预作用。</w:t>
            </w:r>
          </w:p>
        </w:tc>
      </w:tr>
    </w:tbl>
    <w:p w14:paraId="22209A8F">
      <w:pPr>
        <w:spacing w:line="360" w:lineRule="auto"/>
        <w:rPr>
          <w:rFonts w:ascii="宋体" w:cs="Times New Roman"/>
          <w:b/>
          <w:bCs/>
          <w:color w:val="000000"/>
          <w:kern w:val="0"/>
          <w:sz w:val="28"/>
        </w:rPr>
      </w:pPr>
    </w:p>
    <w:p w14:paraId="5A648297">
      <w:pPr>
        <w:spacing w:line="360" w:lineRule="auto"/>
        <w:jc w:val="center"/>
        <w:rPr>
          <w:rFonts w:ascii="宋体" w:cs="Times New Roman"/>
          <w:b/>
          <w:color w:val="000000"/>
          <w:kern w:val="0"/>
          <w:sz w:val="28"/>
        </w:rPr>
      </w:pPr>
      <w:r>
        <w:rPr>
          <w:rFonts w:hint="eastAsia" w:ascii="宋体" w:cs="Times New Roman"/>
          <w:b/>
          <w:bCs/>
          <w:color w:val="000000"/>
          <w:kern w:val="0"/>
          <w:sz w:val="28"/>
        </w:rPr>
        <w:t>二</w:t>
      </w:r>
      <w:r>
        <w:rPr>
          <w:rFonts w:ascii="宋体" w:cs="Times New Roman"/>
          <w:b/>
          <w:bCs/>
          <w:color w:val="000000"/>
          <w:kern w:val="0"/>
          <w:sz w:val="28"/>
        </w:rPr>
        <w:t>、</w:t>
      </w:r>
      <w:r>
        <w:rPr>
          <w:rFonts w:ascii="宋体" w:cs="Times New Roman"/>
          <w:b/>
          <w:color w:val="000000"/>
          <w:kern w:val="0"/>
          <w:sz w:val="28"/>
        </w:rPr>
        <w:t>提名</w:t>
      </w:r>
      <w:r>
        <w:rPr>
          <w:rFonts w:hint="eastAsia" w:ascii="宋体" w:cs="Times New Roman"/>
          <w:b/>
          <w:color w:val="000000"/>
          <w:kern w:val="0"/>
          <w:sz w:val="28"/>
        </w:rPr>
        <w:t>单位</w:t>
      </w:r>
      <w:r>
        <w:rPr>
          <w:rFonts w:ascii="宋体" w:cs="Times New Roman"/>
          <w:b/>
          <w:color w:val="000000"/>
          <w:kern w:val="0"/>
          <w:sz w:val="28"/>
        </w:rPr>
        <w:t>意见</w:t>
      </w:r>
    </w:p>
    <w:tbl>
      <w:tblPr>
        <w:tblStyle w:val="10"/>
        <w:tblW w:w="89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481"/>
        <w:gridCol w:w="1091"/>
        <w:gridCol w:w="2114"/>
      </w:tblGrid>
      <w:tr w14:paraId="619C7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8" w:space="0"/>
              <w:left w:val="single" w:color="auto" w:sz="8" w:space="0"/>
              <w:bottom w:val="single" w:color="auto" w:sz="8" w:space="0"/>
              <w:right w:val="single" w:color="auto" w:sz="8" w:space="0"/>
            </w:tcBorders>
            <w:noWrap/>
            <w:vAlign w:val="center"/>
          </w:tcPr>
          <w:p w14:paraId="6ECC9492">
            <w:pPr>
              <w:jc w:val="center"/>
              <w:rPr>
                <w:rFonts w:ascii="宋体" w:cs="Times New Roman"/>
                <w:color w:val="000000"/>
              </w:rPr>
            </w:pPr>
            <w:r>
              <w:rPr>
                <w:rFonts w:hint="eastAsia" w:ascii="宋体" w:cs="Times New Roman"/>
                <w:color w:val="000000"/>
              </w:rPr>
              <w:t>提名单位</w:t>
            </w:r>
          </w:p>
        </w:tc>
        <w:tc>
          <w:tcPr>
            <w:tcW w:w="7686" w:type="dxa"/>
            <w:gridSpan w:val="3"/>
            <w:tcBorders>
              <w:top w:val="single" w:color="auto" w:sz="8" w:space="0"/>
              <w:left w:val="single" w:color="auto" w:sz="8" w:space="0"/>
              <w:bottom w:val="single" w:color="auto" w:sz="8" w:space="0"/>
              <w:right w:val="single" w:color="auto" w:sz="8" w:space="0"/>
            </w:tcBorders>
            <w:noWrap/>
            <w:vAlign w:val="center"/>
          </w:tcPr>
          <w:p w14:paraId="1FCC572B">
            <w:pPr>
              <w:ind w:firstLine="420" w:firstLineChars="200"/>
              <w:jc w:val="center"/>
              <w:rPr>
                <w:rFonts w:ascii="宋体" w:cs="Times New Roman"/>
                <w:color w:val="000000"/>
              </w:rPr>
            </w:pPr>
            <w:r>
              <w:rPr>
                <w:rFonts w:hint="eastAsia" w:ascii="宋体" w:cs="Times New Roman"/>
                <w:color w:val="000000"/>
                <w:lang w:val="en-US" w:eastAsia="zh-CN"/>
              </w:rPr>
              <w:t>四川省教育厅</w:t>
            </w:r>
          </w:p>
        </w:tc>
      </w:tr>
      <w:tr w14:paraId="2C4DA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53547E21">
            <w:pPr>
              <w:jc w:val="center"/>
              <w:rPr>
                <w:rFonts w:ascii="宋体" w:cs="Times New Roman"/>
                <w:color w:val="000000"/>
              </w:rPr>
            </w:pPr>
            <w:r>
              <w:rPr>
                <w:rFonts w:hint="eastAsia" w:ascii="宋体" w:cs="Times New Roman"/>
                <w:color w:val="000000"/>
              </w:rPr>
              <w:t>通讯地址</w:t>
            </w:r>
          </w:p>
        </w:tc>
        <w:tc>
          <w:tcPr>
            <w:tcW w:w="4481" w:type="dxa"/>
            <w:tcBorders>
              <w:top w:val="single" w:color="auto" w:sz="4" w:space="0"/>
              <w:left w:val="single" w:color="auto" w:sz="8" w:space="0"/>
              <w:bottom w:val="single" w:color="auto" w:sz="8" w:space="0"/>
              <w:right w:val="single" w:color="auto" w:sz="8" w:space="0"/>
            </w:tcBorders>
            <w:noWrap/>
            <w:vAlign w:val="center"/>
          </w:tcPr>
          <w:p w14:paraId="25615420">
            <w:pPr>
              <w:ind w:firstLine="420" w:firstLineChars="200"/>
              <w:jc w:val="center"/>
              <w:rPr>
                <w:rFonts w:ascii="宋体" w:cs="Times New Roman"/>
                <w:color w:val="000000"/>
              </w:rPr>
            </w:pPr>
            <w:r>
              <w:rPr>
                <w:rFonts w:hint="eastAsia" w:ascii="宋体" w:cs="Times New Roman"/>
                <w:color w:val="000000"/>
              </w:rPr>
              <w:t>四川省成都市青羊区陕西街26号</w:t>
            </w:r>
          </w:p>
        </w:tc>
        <w:tc>
          <w:tcPr>
            <w:tcW w:w="1091" w:type="dxa"/>
            <w:tcBorders>
              <w:top w:val="single" w:color="auto" w:sz="4" w:space="0"/>
              <w:left w:val="single" w:color="auto" w:sz="8" w:space="0"/>
              <w:bottom w:val="single" w:color="auto" w:sz="8" w:space="0"/>
              <w:right w:val="single" w:color="auto" w:sz="8" w:space="0"/>
            </w:tcBorders>
            <w:noWrap/>
            <w:vAlign w:val="center"/>
          </w:tcPr>
          <w:p w14:paraId="561D7B9D">
            <w:pPr>
              <w:jc w:val="center"/>
              <w:rPr>
                <w:rFonts w:ascii="宋体" w:cs="Times New Roman"/>
                <w:color w:val="000000"/>
              </w:rPr>
            </w:pPr>
            <w:r>
              <w:rPr>
                <w:rFonts w:hint="eastAsia" w:ascii="宋体" w:cs="Times New Roman"/>
                <w:color w:val="000000"/>
              </w:rPr>
              <w:t>邮政编码</w:t>
            </w:r>
          </w:p>
        </w:tc>
        <w:tc>
          <w:tcPr>
            <w:tcW w:w="2114" w:type="dxa"/>
            <w:tcBorders>
              <w:top w:val="single" w:color="auto" w:sz="4" w:space="0"/>
              <w:left w:val="single" w:color="auto" w:sz="8" w:space="0"/>
              <w:bottom w:val="single" w:color="auto" w:sz="8" w:space="0"/>
              <w:right w:val="single" w:color="auto" w:sz="8" w:space="0"/>
            </w:tcBorders>
            <w:noWrap/>
            <w:vAlign w:val="center"/>
          </w:tcPr>
          <w:p w14:paraId="6CAE6F3A">
            <w:pPr>
              <w:jc w:val="center"/>
              <w:rPr>
                <w:rFonts w:ascii="宋体" w:cs="Times New Roman"/>
                <w:color w:val="000000"/>
              </w:rPr>
            </w:pPr>
            <w:r>
              <w:rPr>
                <w:rFonts w:hint="eastAsia" w:ascii="Times New Roman" w:hAnsi="Times New Roman" w:cs="Times New Roman"/>
                <w:color w:val="000000"/>
              </w:rPr>
              <w:t>610041</w:t>
            </w:r>
          </w:p>
        </w:tc>
      </w:tr>
      <w:tr w14:paraId="5EAEC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4550B673">
            <w:pPr>
              <w:jc w:val="center"/>
              <w:rPr>
                <w:rFonts w:ascii="宋体" w:cs="Times New Roman"/>
                <w:color w:val="000000"/>
              </w:rPr>
            </w:pPr>
            <w:r>
              <w:rPr>
                <w:rFonts w:hint="eastAsia" w:ascii="宋体" w:cs="Times New Roman"/>
                <w:color w:val="000000"/>
              </w:rPr>
              <w:t>联 系 人</w:t>
            </w:r>
          </w:p>
        </w:tc>
        <w:tc>
          <w:tcPr>
            <w:tcW w:w="4481" w:type="dxa"/>
            <w:tcBorders>
              <w:top w:val="single" w:color="auto" w:sz="4" w:space="0"/>
              <w:left w:val="single" w:color="auto" w:sz="8" w:space="0"/>
              <w:bottom w:val="single" w:color="auto" w:sz="8" w:space="0"/>
              <w:right w:val="single" w:color="auto" w:sz="8" w:space="0"/>
            </w:tcBorders>
            <w:noWrap/>
            <w:vAlign w:val="center"/>
          </w:tcPr>
          <w:p w14:paraId="2CBF4652">
            <w:pPr>
              <w:ind w:firstLine="420" w:firstLineChars="200"/>
              <w:jc w:val="center"/>
              <w:rPr>
                <w:rFonts w:ascii="宋体" w:cs="Times New Roman"/>
                <w:color w:val="000000"/>
              </w:rPr>
            </w:pPr>
            <w:r>
              <w:rPr>
                <w:rFonts w:hint="eastAsia" w:ascii="宋体" w:cs="Times New Roman"/>
                <w:color w:val="000000"/>
              </w:rPr>
              <w:t>刘东</w:t>
            </w:r>
          </w:p>
        </w:tc>
        <w:tc>
          <w:tcPr>
            <w:tcW w:w="1091" w:type="dxa"/>
            <w:tcBorders>
              <w:top w:val="single" w:color="auto" w:sz="4" w:space="0"/>
              <w:left w:val="single" w:color="auto" w:sz="8" w:space="0"/>
              <w:bottom w:val="single" w:color="auto" w:sz="8" w:space="0"/>
              <w:right w:val="single" w:color="auto" w:sz="8" w:space="0"/>
            </w:tcBorders>
            <w:noWrap/>
            <w:vAlign w:val="center"/>
          </w:tcPr>
          <w:p w14:paraId="645C8A05">
            <w:pPr>
              <w:jc w:val="center"/>
              <w:rPr>
                <w:rFonts w:ascii="宋体" w:cs="Times New Roman"/>
                <w:color w:val="000000"/>
              </w:rPr>
            </w:pPr>
            <w:r>
              <w:rPr>
                <w:rFonts w:hint="eastAsia" w:ascii="宋体" w:cs="Times New Roman"/>
                <w:color w:val="000000"/>
              </w:rPr>
              <w:t>联系电话</w:t>
            </w:r>
          </w:p>
        </w:tc>
        <w:tc>
          <w:tcPr>
            <w:tcW w:w="2114" w:type="dxa"/>
            <w:tcBorders>
              <w:top w:val="single" w:color="auto" w:sz="4" w:space="0"/>
              <w:left w:val="single" w:color="auto" w:sz="8" w:space="0"/>
              <w:bottom w:val="single" w:color="auto" w:sz="8" w:space="0"/>
              <w:right w:val="single" w:color="auto" w:sz="8" w:space="0"/>
            </w:tcBorders>
            <w:noWrap/>
            <w:vAlign w:val="center"/>
          </w:tcPr>
          <w:p w14:paraId="7DDAF9C5">
            <w:pPr>
              <w:jc w:val="center"/>
              <w:rPr>
                <w:rFonts w:ascii="宋体" w:cs="Times New Roman"/>
                <w:color w:val="000000"/>
              </w:rPr>
            </w:pPr>
            <w:r>
              <w:rPr>
                <w:rFonts w:hint="eastAsia" w:ascii="Times New Roman" w:hAnsi="Times New Roman" w:cs="Times New Roman"/>
                <w:color w:val="000000"/>
              </w:rPr>
              <w:t>（028）86116034</w:t>
            </w:r>
          </w:p>
        </w:tc>
      </w:tr>
      <w:tr w14:paraId="0C217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66D1BD21">
            <w:pPr>
              <w:jc w:val="center"/>
              <w:rPr>
                <w:rFonts w:ascii="宋体" w:cs="Times New Roman"/>
                <w:color w:val="000000"/>
              </w:rPr>
            </w:pPr>
            <w:r>
              <w:rPr>
                <w:rFonts w:hint="eastAsia" w:ascii="宋体" w:cs="Times New Roman"/>
                <w:color w:val="000000"/>
              </w:rPr>
              <w:t>电子邮箱</w:t>
            </w:r>
          </w:p>
        </w:tc>
        <w:tc>
          <w:tcPr>
            <w:tcW w:w="4481" w:type="dxa"/>
            <w:tcBorders>
              <w:top w:val="single" w:color="auto" w:sz="4" w:space="0"/>
              <w:left w:val="single" w:color="auto" w:sz="8" w:space="0"/>
              <w:bottom w:val="single" w:color="auto" w:sz="8" w:space="0"/>
              <w:right w:val="single" w:color="auto" w:sz="8" w:space="0"/>
            </w:tcBorders>
            <w:noWrap/>
            <w:vAlign w:val="center"/>
          </w:tcPr>
          <w:p w14:paraId="20BC631B">
            <w:pPr>
              <w:ind w:firstLine="420" w:firstLineChars="200"/>
              <w:jc w:val="center"/>
              <w:rPr>
                <w:rFonts w:ascii="宋体" w:cs="Times New Roman"/>
                <w:color w:val="000000"/>
              </w:rPr>
            </w:pPr>
            <w:r>
              <w:rPr>
                <w:rFonts w:hint="eastAsia" w:ascii="Times New Roman" w:hAnsi="Times New Roman" w:cs="Times New Roman"/>
                <w:color w:val="000000"/>
              </w:rPr>
              <w:t>kjc8611</w:t>
            </w:r>
            <w:r>
              <w:rPr>
                <w:rFonts w:hint="eastAsia" w:ascii="Times New Roman" w:hAnsi="Times New Roman" w:cs="Times New Roman"/>
                <w:color w:val="000000"/>
                <w:lang w:val="en-US" w:eastAsia="zh-CN"/>
              </w:rPr>
              <w:t>6034</w:t>
            </w:r>
            <w:bookmarkStart w:id="0" w:name="_GoBack"/>
            <w:bookmarkEnd w:id="0"/>
            <w:r>
              <w:rPr>
                <w:rFonts w:hint="eastAsia" w:ascii="Times New Roman" w:hAnsi="Times New Roman" w:cs="Times New Roman"/>
                <w:color w:val="000000"/>
              </w:rPr>
              <w:t>@163.com</w:t>
            </w:r>
          </w:p>
        </w:tc>
        <w:tc>
          <w:tcPr>
            <w:tcW w:w="1091" w:type="dxa"/>
            <w:tcBorders>
              <w:top w:val="single" w:color="auto" w:sz="4" w:space="0"/>
              <w:left w:val="single" w:color="auto" w:sz="8" w:space="0"/>
              <w:bottom w:val="single" w:color="auto" w:sz="8" w:space="0"/>
              <w:right w:val="single" w:color="auto" w:sz="8" w:space="0"/>
            </w:tcBorders>
            <w:noWrap/>
            <w:vAlign w:val="center"/>
          </w:tcPr>
          <w:p w14:paraId="0B2B942B">
            <w:pPr>
              <w:jc w:val="center"/>
              <w:rPr>
                <w:rFonts w:ascii="宋体" w:cs="Times New Roman"/>
                <w:color w:val="000000"/>
              </w:rPr>
            </w:pPr>
            <w:r>
              <w:rPr>
                <w:rFonts w:hint="eastAsia" w:ascii="宋体" w:cs="Times New Roman"/>
                <w:color w:val="000000"/>
              </w:rPr>
              <w:t>传    真</w:t>
            </w:r>
          </w:p>
        </w:tc>
        <w:tc>
          <w:tcPr>
            <w:tcW w:w="2114" w:type="dxa"/>
            <w:tcBorders>
              <w:top w:val="single" w:color="auto" w:sz="4" w:space="0"/>
              <w:left w:val="single" w:color="auto" w:sz="8" w:space="0"/>
              <w:bottom w:val="single" w:color="auto" w:sz="8" w:space="0"/>
              <w:right w:val="single" w:color="auto" w:sz="8" w:space="0"/>
            </w:tcBorders>
            <w:noWrap/>
            <w:vAlign w:val="center"/>
          </w:tcPr>
          <w:p w14:paraId="00A3B905">
            <w:pPr>
              <w:jc w:val="center"/>
              <w:rPr>
                <w:rFonts w:ascii="宋体" w:cs="Times New Roman"/>
                <w:color w:val="000000"/>
              </w:rPr>
            </w:pPr>
            <w:r>
              <w:rPr>
                <w:rFonts w:hint="eastAsia" w:ascii="Times New Roman" w:hAnsi="Times New Roman" w:cs="Times New Roman"/>
                <w:color w:val="000000"/>
              </w:rPr>
              <w:t>（028）86116034</w:t>
            </w:r>
          </w:p>
        </w:tc>
      </w:tr>
      <w:tr w14:paraId="1AA9C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1" w:hRule="atLeast"/>
          <w:jc w:val="center"/>
        </w:trPr>
        <w:tc>
          <w:tcPr>
            <w:tcW w:w="8901" w:type="dxa"/>
            <w:gridSpan w:val="4"/>
            <w:tcBorders>
              <w:top w:val="single" w:color="auto" w:sz="4" w:space="0"/>
              <w:left w:val="single" w:color="auto" w:sz="8" w:space="0"/>
              <w:bottom w:val="single" w:color="auto" w:sz="8" w:space="0"/>
              <w:right w:val="single" w:color="auto" w:sz="8" w:space="0"/>
            </w:tcBorders>
            <w:noWrap/>
          </w:tcPr>
          <w:p w14:paraId="447B96E4">
            <w:pPr>
              <w:rPr>
                <w:rFonts w:ascii="宋体" w:cs="Times New Roman"/>
                <w:color w:val="000000"/>
                <w:szCs w:val="20"/>
              </w:rPr>
            </w:pPr>
            <w:r>
              <w:rPr>
                <w:rFonts w:hint="eastAsia" w:ascii="宋体" w:cs="Times New Roman"/>
                <w:color w:val="000000"/>
                <w:szCs w:val="20"/>
              </w:rPr>
              <w:t>提名意见：</w:t>
            </w:r>
          </w:p>
          <w:p w14:paraId="2498E84D">
            <w:pPr>
              <w:spacing w:before="156" w:beforeLines="50"/>
              <w:ind w:firstLine="428" w:firstLineChars="200"/>
              <w:rPr>
                <w:rFonts w:ascii="宋体" w:hAnsi="宋体"/>
                <w:bCs/>
                <w:color w:val="000000" w:themeColor="text1"/>
                <w:spacing w:val="2"/>
                <w14:textFill>
                  <w14:solidFill>
                    <w14:schemeClr w14:val="tx1"/>
                  </w14:solidFill>
                </w14:textFill>
              </w:rPr>
            </w:pPr>
            <w:r>
              <w:rPr>
                <w:rFonts w:hint="eastAsia" w:ascii="宋体" w:hAnsi="宋体"/>
                <w:bCs/>
                <w:color w:val="000000" w:themeColor="text1"/>
                <w:spacing w:val="2"/>
                <w14:textFill>
                  <w14:solidFill>
                    <w14:schemeClr w14:val="tx1"/>
                  </w14:solidFill>
                </w14:textFill>
              </w:rPr>
              <w:t>针对环境污染物暴露评估领域存在的样本基质复杂、方法繁琐耗时等难题，我院汤建才教授课题组“关键环境污染物检测技术的建立及致病机制的研究”将基础研究与转化应用相结合，主要有以下发现：(1) 创建各种复杂介质中多组分环境污染物分析及检测技术。制备高选择性识别目标物的纳米材料用于甲状腺素干扰毒性引导未知污染物分析，筛查准确率达95%以上，成本仅为国际推荐甲状腺转运蛋白评估方法的百分之一。（2）利用蛋白仿生及核酸适配体技术构建了双酚 A (BPA) 及其卤代类似物四溴双酚 A (TBBPA) 和四氯双酚 A (TCBPA)、镉离子、黄曲霉素、玉米赤烯酮及硫化氢等关键环境污染物的快速检测方法。 (3)开展人群多途径暴露环境污染物评估研究、致病机制及干预。阐明N-甲基-N'-硝基-N-亚硝基胍（MNNG）、三甲基氯化锡(TMT)、邻苯二甲酸酯等致病的关键机制。发现叶酸等在环境污染物诱导的多个细胞动物模型中具有重要的干预作用，为环境污染物所致疾病的预防及治疗奠定了实验基础。该项目的研究过程得到国家级和省部级等一系列基金项目支持，获得国内发明专利5项；在国内外发表高质量的学术论文56篇，其中SCI收录50篇， 6篇论文被CNKI数据库收录，代表性论文5篇，被引102次，他引97次。该项目在关键环境污染物的检测、暴露评估及致病机制方面有重大创新，技术难度大，整体水平达到国内领先水平。研究成果在多家企业及医院推广应用，为环境污染物的检测及其导致的疾病早诊、早治及干预提供重要科学依据。这些研究成果为环境污染物的检测及相关疾病的诊治提供了科学参考，产生了重大的社会效益，具有重大的临床应用价值及推广意义。基于汤建才教授课题组所做出的突出贡献和广泛的社会效益，我单位同意推荐该项目申报四川省科学技术进步奖。</w:t>
            </w:r>
          </w:p>
          <w:p w14:paraId="614BC8E7">
            <w:pPr>
              <w:spacing w:before="156" w:beforeLines="50"/>
              <w:rPr>
                <w:rFonts w:ascii="宋体" w:hAnsi="宋体"/>
                <w:bCs/>
                <w:color w:val="000000" w:themeColor="text1"/>
                <w:spacing w:val="2"/>
                <w14:textFill>
                  <w14:solidFill>
                    <w14:schemeClr w14:val="tx1"/>
                  </w14:solidFill>
                </w14:textFill>
              </w:rPr>
            </w:pPr>
            <w:r>
              <w:rPr>
                <w:rFonts w:hint="eastAsia" w:ascii="宋体" w:hAnsi="宋体"/>
                <w:bCs/>
                <w:color w:val="000000" w:themeColor="text1"/>
                <w:spacing w:val="2"/>
                <w14:textFill>
                  <w14:solidFill>
                    <w14:schemeClr w14:val="tx1"/>
                  </w14:solidFill>
                </w14:textFill>
              </w:rPr>
              <w:t>提名该项目为2024年度四川省科学技术进步奖。</w:t>
            </w:r>
          </w:p>
          <w:p w14:paraId="1B0E2F8A">
            <w:pPr>
              <w:spacing w:before="156" w:beforeLines="50"/>
              <w:rPr>
                <w:rFonts w:ascii="宋体" w:hAnsi="宋体"/>
                <w:bCs/>
                <w:color w:val="000000" w:themeColor="text1"/>
                <w:spacing w:val="2"/>
                <w14:textFill>
                  <w14:solidFill>
                    <w14:schemeClr w14:val="tx1"/>
                  </w14:solidFill>
                </w14:textFill>
              </w:rPr>
            </w:pPr>
          </w:p>
          <w:p w14:paraId="37152194">
            <w:pPr>
              <w:spacing w:before="156" w:beforeLines="50"/>
              <w:rPr>
                <w:rFonts w:ascii="宋体" w:hAnsi="宋体"/>
                <w:bCs/>
                <w:color w:val="000000" w:themeColor="text1"/>
                <w:spacing w:val="2"/>
                <w14:textFill>
                  <w14:solidFill>
                    <w14:schemeClr w14:val="tx1"/>
                  </w14:solidFill>
                </w14:textFill>
              </w:rPr>
            </w:pPr>
          </w:p>
          <w:p w14:paraId="48CDFF35">
            <w:pPr>
              <w:spacing w:before="156" w:beforeLines="50"/>
              <w:rPr>
                <w:rFonts w:ascii="宋体" w:hAnsi="宋体"/>
                <w:bCs/>
                <w:color w:val="000000" w:themeColor="text1"/>
                <w:spacing w:val="2"/>
                <w14:textFill>
                  <w14:solidFill>
                    <w14:schemeClr w14:val="tx1"/>
                  </w14:solidFill>
                </w14:textFill>
              </w:rPr>
            </w:pPr>
          </w:p>
          <w:p w14:paraId="21C47FB4">
            <w:pPr>
              <w:spacing w:before="156" w:beforeLines="50"/>
              <w:rPr>
                <w:rFonts w:ascii="宋体" w:hAnsi="宋体"/>
                <w:bCs/>
                <w:color w:val="000000" w:themeColor="text1"/>
                <w:spacing w:val="2"/>
                <w14:textFill>
                  <w14:solidFill>
                    <w14:schemeClr w14:val="tx1"/>
                  </w14:solidFill>
                </w14:textFill>
              </w:rPr>
            </w:pPr>
          </w:p>
          <w:p w14:paraId="1386A837">
            <w:pPr>
              <w:spacing w:before="156" w:beforeLines="50"/>
              <w:rPr>
                <w:rFonts w:ascii="宋体" w:hAnsi="宋体"/>
                <w:bCs/>
                <w:color w:val="000000" w:themeColor="text1"/>
                <w:spacing w:val="2"/>
                <w14:textFill>
                  <w14:solidFill>
                    <w14:schemeClr w14:val="tx1"/>
                  </w14:solidFill>
                </w14:textFill>
              </w:rPr>
            </w:pPr>
          </w:p>
        </w:tc>
      </w:tr>
    </w:tbl>
    <w:p w14:paraId="339724DB">
      <w:pPr>
        <w:spacing w:line="390" w:lineRule="exact"/>
        <w:outlineLvl w:val="1"/>
        <w:rPr>
          <w:rFonts w:ascii="黑体" w:eastAsia="黑体" w:cs="黑体"/>
          <w:bCs/>
          <w:color w:val="000000"/>
          <w:kern w:val="0"/>
          <w:sz w:val="28"/>
          <w:szCs w:val="28"/>
        </w:rPr>
      </w:pPr>
    </w:p>
    <w:p w14:paraId="3DDFDEA2">
      <w:pPr>
        <w:spacing w:line="390" w:lineRule="exact"/>
        <w:jc w:val="center"/>
        <w:outlineLvl w:val="1"/>
        <w:rPr>
          <w:rFonts w:ascii="宋体" w:cs="宋体"/>
          <w:szCs w:val="21"/>
        </w:rPr>
      </w:pPr>
      <w:r>
        <w:rPr>
          <w:rFonts w:hint="eastAsia" w:ascii="宋体" w:cs="Times New Roman"/>
          <w:b/>
          <w:color w:val="000000"/>
          <w:sz w:val="28"/>
          <w:szCs w:val="20"/>
        </w:rPr>
        <w:t>三、主要知识产权和标准规范等目录</w:t>
      </w:r>
      <w:r>
        <w:rPr>
          <w:rFonts w:hint="eastAsia" w:ascii="宋体" w:cs="宋体"/>
          <w:szCs w:val="21"/>
        </w:rPr>
        <w:t>（不超过10件，不得空缺）</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997"/>
        <w:gridCol w:w="426"/>
        <w:gridCol w:w="709"/>
        <w:gridCol w:w="992"/>
        <w:gridCol w:w="1134"/>
        <w:gridCol w:w="850"/>
        <w:gridCol w:w="851"/>
        <w:gridCol w:w="1183"/>
      </w:tblGrid>
      <w:tr w14:paraId="0D48D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7" w:type="dxa"/>
            <w:vAlign w:val="center"/>
          </w:tcPr>
          <w:p w14:paraId="06AD4CF8">
            <w:pPr>
              <w:spacing w:line="280" w:lineRule="exact"/>
              <w:jc w:val="center"/>
              <w:rPr>
                <w:rFonts w:ascii="宋体" w:hAnsi="宋体" w:cs="宋体"/>
                <w:color w:val="000000"/>
              </w:rPr>
            </w:pPr>
            <w:r>
              <w:rPr>
                <w:rFonts w:hint="eastAsia" w:ascii="宋体" w:hAnsi="宋体" w:cs="宋体"/>
                <w:color w:val="000000"/>
              </w:rPr>
              <w:t>知识产权（标准）类别</w:t>
            </w:r>
          </w:p>
        </w:tc>
        <w:tc>
          <w:tcPr>
            <w:tcW w:w="1997" w:type="dxa"/>
            <w:vAlign w:val="center"/>
          </w:tcPr>
          <w:p w14:paraId="416E8D5A">
            <w:pPr>
              <w:spacing w:line="280" w:lineRule="exact"/>
              <w:jc w:val="center"/>
              <w:rPr>
                <w:rFonts w:ascii="宋体" w:hAnsi="宋体" w:cs="宋体"/>
                <w:color w:val="000000"/>
              </w:rPr>
            </w:pPr>
            <w:r>
              <w:rPr>
                <w:rFonts w:hint="eastAsia" w:ascii="宋体" w:hAnsi="宋体" w:cs="宋体"/>
                <w:color w:val="000000"/>
              </w:rPr>
              <w:t>知识产权（标准）</w:t>
            </w:r>
          </w:p>
          <w:p w14:paraId="49318592">
            <w:pPr>
              <w:spacing w:line="280" w:lineRule="exact"/>
              <w:jc w:val="center"/>
              <w:rPr>
                <w:rFonts w:ascii="宋体" w:hAnsi="宋体" w:cs="宋体"/>
                <w:color w:val="000000"/>
              </w:rPr>
            </w:pPr>
            <w:r>
              <w:rPr>
                <w:rFonts w:hint="eastAsia" w:ascii="宋体" w:hAnsi="宋体" w:cs="宋体"/>
                <w:color w:val="000000"/>
              </w:rPr>
              <w:t>具体名称</w:t>
            </w:r>
          </w:p>
        </w:tc>
        <w:tc>
          <w:tcPr>
            <w:tcW w:w="426" w:type="dxa"/>
            <w:vAlign w:val="center"/>
          </w:tcPr>
          <w:p w14:paraId="0BDDFDA5">
            <w:pPr>
              <w:spacing w:line="280" w:lineRule="exact"/>
              <w:jc w:val="center"/>
              <w:rPr>
                <w:rFonts w:ascii="宋体" w:hAnsi="宋体" w:cs="宋体"/>
                <w:color w:val="000000"/>
              </w:rPr>
            </w:pPr>
            <w:r>
              <w:rPr>
                <w:rFonts w:hint="eastAsia" w:ascii="宋体" w:hAnsi="宋体" w:cs="宋体"/>
                <w:color w:val="000000"/>
              </w:rPr>
              <w:t>国家</w:t>
            </w:r>
          </w:p>
          <w:p w14:paraId="5E5860FB">
            <w:pPr>
              <w:spacing w:line="280" w:lineRule="exact"/>
              <w:jc w:val="center"/>
              <w:rPr>
                <w:rFonts w:ascii="宋体" w:hAnsi="宋体" w:cs="宋体"/>
                <w:color w:val="000000"/>
              </w:rPr>
            </w:pPr>
            <w:r>
              <w:rPr>
                <w:rFonts w:hint="eastAsia" w:ascii="宋体" w:hAnsi="宋体" w:cs="宋体"/>
                <w:color w:val="000000"/>
              </w:rPr>
              <w:t>（地区）</w:t>
            </w:r>
          </w:p>
        </w:tc>
        <w:tc>
          <w:tcPr>
            <w:tcW w:w="709" w:type="dxa"/>
            <w:vAlign w:val="center"/>
          </w:tcPr>
          <w:p w14:paraId="7F8D664E">
            <w:pPr>
              <w:spacing w:line="280" w:lineRule="exact"/>
              <w:jc w:val="center"/>
              <w:rPr>
                <w:rFonts w:ascii="宋体" w:hAnsi="宋体" w:cs="宋体"/>
                <w:color w:val="000000"/>
              </w:rPr>
            </w:pPr>
            <w:r>
              <w:rPr>
                <w:rFonts w:hint="eastAsia" w:ascii="宋体" w:hAnsi="宋体" w:cs="宋体"/>
                <w:color w:val="000000"/>
              </w:rPr>
              <w:t>授权号（标准编号）</w:t>
            </w:r>
          </w:p>
        </w:tc>
        <w:tc>
          <w:tcPr>
            <w:tcW w:w="992" w:type="dxa"/>
            <w:vAlign w:val="center"/>
          </w:tcPr>
          <w:p w14:paraId="6E9AB877">
            <w:pPr>
              <w:spacing w:line="280" w:lineRule="exact"/>
              <w:jc w:val="center"/>
              <w:rPr>
                <w:rFonts w:ascii="宋体" w:hAnsi="宋体" w:cs="宋体"/>
                <w:color w:val="000000"/>
              </w:rPr>
            </w:pPr>
            <w:r>
              <w:rPr>
                <w:rFonts w:hint="eastAsia" w:ascii="宋体" w:hAnsi="宋体" w:cs="宋体"/>
                <w:color w:val="000000"/>
              </w:rPr>
              <w:t>授权（标准发布）日期</w:t>
            </w:r>
          </w:p>
        </w:tc>
        <w:tc>
          <w:tcPr>
            <w:tcW w:w="1134" w:type="dxa"/>
            <w:vAlign w:val="center"/>
          </w:tcPr>
          <w:p w14:paraId="40A3B048">
            <w:pPr>
              <w:spacing w:line="280" w:lineRule="exact"/>
              <w:jc w:val="center"/>
              <w:rPr>
                <w:rFonts w:ascii="宋体" w:hAnsi="宋体" w:cs="宋体"/>
                <w:color w:val="000000"/>
              </w:rPr>
            </w:pPr>
            <w:r>
              <w:rPr>
                <w:rFonts w:hint="eastAsia" w:ascii="宋体" w:hAnsi="宋体" w:cs="宋体"/>
                <w:color w:val="000000"/>
              </w:rPr>
              <w:t>证书编号</w:t>
            </w:r>
            <w:r>
              <w:rPr>
                <w:rFonts w:hint="eastAsia" w:ascii="宋体" w:hAnsi="宋体" w:cs="宋体"/>
                <w:color w:val="000000"/>
              </w:rPr>
              <w:br w:type="textWrapping"/>
            </w:r>
            <w:r>
              <w:rPr>
                <w:rFonts w:hint="eastAsia" w:ascii="宋体" w:hAnsi="宋体" w:cs="宋体"/>
                <w:color w:val="000000"/>
              </w:rPr>
              <w:t>（标准批准发布部门）</w:t>
            </w:r>
          </w:p>
        </w:tc>
        <w:tc>
          <w:tcPr>
            <w:tcW w:w="850" w:type="dxa"/>
            <w:vAlign w:val="center"/>
          </w:tcPr>
          <w:p w14:paraId="62AE8828">
            <w:pPr>
              <w:spacing w:line="280" w:lineRule="exact"/>
              <w:jc w:val="center"/>
              <w:rPr>
                <w:rFonts w:ascii="宋体" w:hAnsi="宋体" w:cs="宋体"/>
                <w:color w:val="000000"/>
              </w:rPr>
            </w:pPr>
            <w:r>
              <w:rPr>
                <w:rFonts w:hint="eastAsia" w:ascii="宋体" w:hAnsi="宋体" w:cs="宋体"/>
                <w:color w:val="000000"/>
              </w:rPr>
              <w:t>权利人（标准起草单位）</w:t>
            </w:r>
          </w:p>
        </w:tc>
        <w:tc>
          <w:tcPr>
            <w:tcW w:w="851" w:type="dxa"/>
            <w:vAlign w:val="center"/>
          </w:tcPr>
          <w:p w14:paraId="5CAA43BE">
            <w:pPr>
              <w:spacing w:line="280" w:lineRule="exact"/>
              <w:jc w:val="center"/>
              <w:rPr>
                <w:rFonts w:ascii="宋体" w:hAnsi="宋体" w:cs="宋体"/>
                <w:color w:val="000000"/>
              </w:rPr>
            </w:pPr>
            <w:r>
              <w:rPr>
                <w:rFonts w:hint="eastAsia" w:ascii="宋体" w:hAnsi="宋体" w:cs="宋体"/>
                <w:color w:val="000000"/>
              </w:rPr>
              <w:t>发明人（标准起草人）</w:t>
            </w:r>
          </w:p>
        </w:tc>
        <w:tc>
          <w:tcPr>
            <w:tcW w:w="1183" w:type="dxa"/>
            <w:vAlign w:val="center"/>
          </w:tcPr>
          <w:p w14:paraId="0AF5A85E">
            <w:pPr>
              <w:spacing w:line="280" w:lineRule="exact"/>
              <w:jc w:val="center"/>
              <w:rPr>
                <w:rFonts w:ascii="宋体" w:hAnsi="宋体" w:cs="宋体"/>
                <w:color w:val="000000"/>
              </w:rPr>
            </w:pPr>
            <w:r>
              <w:rPr>
                <w:rFonts w:hint="eastAsia" w:ascii="宋体" w:hAnsi="宋体" w:cs="宋体"/>
                <w:color w:val="000000"/>
              </w:rPr>
              <w:t>发明专利（标准）有效状态</w:t>
            </w:r>
          </w:p>
        </w:tc>
      </w:tr>
      <w:tr w14:paraId="5E549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7" w:type="dxa"/>
          </w:tcPr>
          <w:p w14:paraId="3E81CE95">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发明专利</w:t>
            </w:r>
          </w:p>
        </w:tc>
        <w:tc>
          <w:tcPr>
            <w:tcW w:w="1997" w:type="dxa"/>
          </w:tcPr>
          <w:p w14:paraId="14DEF0DD">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一种筛选甲状腺干扰物材料的制备方法及应用</w:t>
            </w:r>
          </w:p>
        </w:tc>
        <w:tc>
          <w:tcPr>
            <w:tcW w:w="426" w:type="dxa"/>
          </w:tcPr>
          <w:p w14:paraId="47CB13BE">
            <w:pPr>
              <w:spacing w:line="390" w:lineRule="exact"/>
              <w:jc w:val="left"/>
              <w:rPr>
                <w:rFonts w:ascii="宋体" w:hAnsi="宋体" w:eastAsia="等线" w:cs="Times New Roman"/>
                <w:color w:val="000000"/>
                <w:sz w:val="24"/>
              </w:rPr>
            </w:pPr>
            <w:r>
              <w:rPr>
                <w:rFonts w:ascii="宋体" w:hAnsi="宋体" w:eastAsia="等线" w:cs="Times New Roman"/>
                <w:color w:val="000000"/>
                <w:sz w:val="24"/>
              </w:rPr>
              <w:t>中国</w:t>
            </w:r>
          </w:p>
        </w:tc>
        <w:tc>
          <w:tcPr>
            <w:tcW w:w="709" w:type="dxa"/>
          </w:tcPr>
          <w:p w14:paraId="54C14879">
            <w:pPr>
              <w:spacing w:line="390" w:lineRule="exact"/>
              <w:jc w:val="left"/>
              <w:rPr>
                <w:rFonts w:ascii="宋体" w:hAnsi="宋体" w:eastAsia="等线" w:cs="Times New Roman"/>
                <w:color w:val="000000"/>
                <w:sz w:val="24"/>
              </w:rPr>
            </w:pPr>
            <w:r>
              <w:rPr>
                <w:rFonts w:ascii="宋体" w:hAnsi="宋体" w:eastAsia="等线" w:cs="Times New Roman"/>
                <w:color w:val="000000"/>
                <w:sz w:val="24"/>
              </w:rPr>
              <w:t>ZL 2018 1 1282189.2</w:t>
            </w:r>
          </w:p>
        </w:tc>
        <w:tc>
          <w:tcPr>
            <w:tcW w:w="992" w:type="dxa"/>
          </w:tcPr>
          <w:p w14:paraId="16062BBE">
            <w:pPr>
              <w:spacing w:line="390" w:lineRule="exact"/>
              <w:jc w:val="left"/>
              <w:rPr>
                <w:rFonts w:ascii="宋体" w:hAnsi="宋体" w:eastAsia="等线" w:cs="Times New Roman"/>
                <w:color w:val="000000"/>
                <w:sz w:val="24"/>
              </w:rPr>
            </w:pPr>
            <w:r>
              <w:rPr>
                <w:rFonts w:ascii="宋体" w:hAnsi="宋体" w:eastAsia="等线" w:cs="Times New Roman"/>
                <w:color w:val="000000"/>
                <w:sz w:val="24"/>
              </w:rPr>
              <w:t>2018年10月31日</w:t>
            </w:r>
          </w:p>
        </w:tc>
        <w:tc>
          <w:tcPr>
            <w:tcW w:w="1134" w:type="dxa"/>
          </w:tcPr>
          <w:p w14:paraId="05C8CD14">
            <w:pPr>
              <w:spacing w:line="390" w:lineRule="exact"/>
              <w:jc w:val="left"/>
              <w:rPr>
                <w:rFonts w:ascii="宋体" w:hAnsi="宋体" w:eastAsia="等线" w:cs="Times New Roman"/>
                <w:color w:val="000000"/>
                <w:sz w:val="24"/>
              </w:rPr>
            </w:pPr>
            <w:r>
              <w:rPr>
                <w:rFonts w:ascii="宋体" w:hAnsi="宋体" w:eastAsia="等线" w:cs="Times New Roman"/>
                <w:color w:val="000000"/>
                <w:sz w:val="24"/>
              </w:rPr>
              <w:t>4187257</w:t>
            </w:r>
          </w:p>
        </w:tc>
        <w:tc>
          <w:tcPr>
            <w:tcW w:w="850" w:type="dxa"/>
          </w:tcPr>
          <w:p w14:paraId="03701C76">
            <w:pPr>
              <w:spacing w:line="390" w:lineRule="exact"/>
              <w:jc w:val="left"/>
              <w:rPr>
                <w:rFonts w:ascii="宋体" w:hAnsi="宋体" w:eastAsia="等线" w:cs="Times New Roman"/>
                <w:color w:val="000000"/>
                <w:sz w:val="24"/>
              </w:rPr>
            </w:pPr>
            <w:r>
              <w:rPr>
                <w:rFonts w:ascii="宋体" w:hAnsi="宋体" w:eastAsia="等线" w:cs="Times New Roman"/>
                <w:color w:val="000000"/>
                <w:sz w:val="24"/>
              </w:rPr>
              <w:t>华中科技大学</w:t>
            </w:r>
          </w:p>
        </w:tc>
        <w:tc>
          <w:tcPr>
            <w:tcW w:w="851" w:type="dxa"/>
          </w:tcPr>
          <w:p w14:paraId="7F008413">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荆涛，黄凯，汪秀，张红星，曾令帅，程玲</w:t>
            </w:r>
          </w:p>
        </w:tc>
        <w:tc>
          <w:tcPr>
            <w:tcW w:w="1183" w:type="dxa"/>
          </w:tcPr>
          <w:p w14:paraId="51D7C95C">
            <w:pPr>
              <w:spacing w:line="390" w:lineRule="exact"/>
              <w:jc w:val="left"/>
              <w:rPr>
                <w:rFonts w:ascii="宋体" w:hAnsi="宋体" w:eastAsia="等线" w:cs="Times New Roman"/>
                <w:color w:val="000000"/>
                <w:sz w:val="24"/>
              </w:rPr>
            </w:pPr>
            <w:r>
              <w:rPr>
                <w:rFonts w:ascii="宋体" w:hAnsi="宋体" w:eastAsia="等线" w:cs="Times New Roman"/>
                <w:color w:val="000000"/>
                <w:sz w:val="24"/>
              </w:rPr>
              <w:t>有效</w:t>
            </w:r>
          </w:p>
        </w:tc>
      </w:tr>
      <w:tr w14:paraId="08D56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7" w:type="dxa"/>
          </w:tcPr>
          <w:p w14:paraId="6F18B768">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发明专利</w:t>
            </w:r>
          </w:p>
        </w:tc>
        <w:tc>
          <w:tcPr>
            <w:tcW w:w="1997" w:type="dxa"/>
          </w:tcPr>
          <w:p w14:paraId="224114E2">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一种裸眼可视化检测硫化氢的方法</w:t>
            </w:r>
          </w:p>
        </w:tc>
        <w:tc>
          <w:tcPr>
            <w:tcW w:w="426" w:type="dxa"/>
          </w:tcPr>
          <w:p w14:paraId="35CADE92">
            <w:pPr>
              <w:spacing w:line="390" w:lineRule="exact"/>
              <w:jc w:val="left"/>
              <w:rPr>
                <w:rFonts w:ascii="宋体" w:hAnsi="宋体" w:eastAsia="等线" w:cs="Times New Roman"/>
                <w:color w:val="000000"/>
                <w:sz w:val="24"/>
              </w:rPr>
            </w:pPr>
            <w:r>
              <w:rPr>
                <w:rFonts w:ascii="宋体" w:hAnsi="宋体" w:eastAsia="等线" w:cs="Times New Roman"/>
                <w:color w:val="000000"/>
                <w:sz w:val="24"/>
              </w:rPr>
              <w:t>中国</w:t>
            </w:r>
          </w:p>
        </w:tc>
        <w:tc>
          <w:tcPr>
            <w:tcW w:w="709" w:type="dxa"/>
          </w:tcPr>
          <w:p w14:paraId="42C950EB">
            <w:pPr>
              <w:spacing w:line="390" w:lineRule="exact"/>
              <w:jc w:val="left"/>
              <w:rPr>
                <w:rFonts w:ascii="宋体" w:hAnsi="宋体" w:eastAsia="等线" w:cs="Times New Roman"/>
                <w:color w:val="000000"/>
                <w:sz w:val="24"/>
              </w:rPr>
            </w:pPr>
            <w:r>
              <w:rPr>
                <w:rFonts w:ascii="宋体" w:hAnsi="宋体" w:eastAsia="等线" w:cs="Times New Roman"/>
                <w:color w:val="000000"/>
                <w:sz w:val="24"/>
              </w:rPr>
              <w:t>ZL 2022 1 0482115.3</w:t>
            </w:r>
          </w:p>
        </w:tc>
        <w:tc>
          <w:tcPr>
            <w:tcW w:w="992" w:type="dxa"/>
          </w:tcPr>
          <w:p w14:paraId="403224F5">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2024年5月14日</w:t>
            </w:r>
          </w:p>
        </w:tc>
        <w:tc>
          <w:tcPr>
            <w:tcW w:w="1134" w:type="dxa"/>
          </w:tcPr>
          <w:p w14:paraId="5EC09FD2">
            <w:pPr>
              <w:spacing w:line="390" w:lineRule="exact"/>
              <w:jc w:val="left"/>
              <w:rPr>
                <w:rFonts w:ascii="宋体" w:hAnsi="宋体" w:eastAsia="等线" w:cs="Times New Roman"/>
                <w:color w:val="000000"/>
                <w:sz w:val="24"/>
              </w:rPr>
            </w:pPr>
            <w:r>
              <w:rPr>
                <w:rFonts w:ascii="宋体" w:hAnsi="宋体" w:eastAsia="等线" w:cs="Times New Roman"/>
                <w:color w:val="000000"/>
                <w:sz w:val="24"/>
              </w:rPr>
              <w:t>7005126</w:t>
            </w:r>
          </w:p>
        </w:tc>
        <w:tc>
          <w:tcPr>
            <w:tcW w:w="850" w:type="dxa"/>
          </w:tcPr>
          <w:p w14:paraId="1EC02CCF">
            <w:pPr>
              <w:spacing w:line="390" w:lineRule="exact"/>
              <w:jc w:val="left"/>
              <w:rPr>
                <w:rFonts w:ascii="宋体" w:hAnsi="宋体" w:eastAsia="等线" w:cs="Times New Roman"/>
                <w:color w:val="000000"/>
                <w:sz w:val="24"/>
              </w:rPr>
            </w:pPr>
            <w:r>
              <w:rPr>
                <w:rFonts w:ascii="宋体" w:hAnsi="宋体" w:eastAsia="等线" w:cs="Times New Roman"/>
                <w:color w:val="000000"/>
                <w:sz w:val="24"/>
              </w:rPr>
              <w:t>川北医学院</w:t>
            </w:r>
          </w:p>
        </w:tc>
        <w:tc>
          <w:tcPr>
            <w:tcW w:w="851" w:type="dxa"/>
          </w:tcPr>
          <w:p w14:paraId="4D83BBCB">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罗荧萍</w:t>
            </w:r>
            <w:r>
              <w:rPr>
                <w:rFonts w:ascii="宋体" w:hAnsi="宋体" w:eastAsia="等线" w:cs="Times New Roman"/>
                <w:color w:val="000000"/>
                <w:sz w:val="24"/>
              </w:rPr>
              <w:t>, 刘巧, 刘悦, 万庆</w:t>
            </w:r>
          </w:p>
        </w:tc>
        <w:tc>
          <w:tcPr>
            <w:tcW w:w="1183" w:type="dxa"/>
          </w:tcPr>
          <w:p w14:paraId="51C8363C">
            <w:pPr>
              <w:spacing w:line="390" w:lineRule="exact"/>
              <w:jc w:val="left"/>
              <w:rPr>
                <w:rFonts w:ascii="宋体" w:hAnsi="宋体" w:eastAsia="等线" w:cs="Times New Roman"/>
                <w:color w:val="000000"/>
                <w:sz w:val="24"/>
              </w:rPr>
            </w:pPr>
            <w:r>
              <w:rPr>
                <w:rFonts w:ascii="宋体" w:hAnsi="宋体" w:eastAsia="等线" w:cs="Times New Roman"/>
                <w:color w:val="000000"/>
                <w:sz w:val="24"/>
              </w:rPr>
              <w:t>有效</w:t>
            </w:r>
          </w:p>
        </w:tc>
      </w:tr>
      <w:tr w14:paraId="4610D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7" w:type="dxa"/>
          </w:tcPr>
          <w:p w14:paraId="7ECFAE3D">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发明专利</w:t>
            </w:r>
          </w:p>
        </w:tc>
        <w:tc>
          <w:tcPr>
            <w:tcW w:w="1997" w:type="dxa"/>
          </w:tcPr>
          <w:p w14:paraId="005C56FF">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一种裸眼可视化检测探针检测黄曲霉素的方法</w:t>
            </w:r>
          </w:p>
        </w:tc>
        <w:tc>
          <w:tcPr>
            <w:tcW w:w="426" w:type="dxa"/>
          </w:tcPr>
          <w:p w14:paraId="71821946">
            <w:pPr>
              <w:spacing w:line="390" w:lineRule="exact"/>
              <w:jc w:val="left"/>
              <w:rPr>
                <w:rFonts w:ascii="宋体" w:hAnsi="宋体" w:eastAsia="等线" w:cs="Times New Roman"/>
                <w:color w:val="000000"/>
                <w:sz w:val="24"/>
              </w:rPr>
            </w:pPr>
            <w:r>
              <w:rPr>
                <w:rFonts w:ascii="宋体" w:hAnsi="宋体" w:eastAsia="等线" w:cs="Times New Roman"/>
                <w:color w:val="000000"/>
                <w:sz w:val="24"/>
              </w:rPr>
              <w:t>中国</w:t>
            </w:r>
          </w:p>
        </w:tc>
        <w:tc>
          <w:tcPr>
            <w:tcW w:w="709" w:type="dxa"/>
          </w:tcPr>
          <w:p w14:paraId="27108BD1">
            <w:pPr>
              <w:spacing w:line="390" w:lineRule="exact"/>
              <w:jc w:val="left"/>
              <w:rPr>
                <w:rFonts w:ascii="宋体" w:hAnsi="宋体" w:eastAsia="等线" w:cs="Times New Roman"/>
                <w:color w:val="000000"/>
                <w:sz w:val="24"/>
              </w:rPr>
            </w:pPr>
            <w:r>
              <w:rPr>
                <w:rFonts w:ascii="宋体" w:hAnsi="宋体" w:eastAsia="等线" w:cs="Times New Roman"/>
                <w:color w:val="000000"/>
                <w:sz w:val="24"/>
              </w:rPr>
              <w:t>ZL 2021 1 0940614.8</w:t>
            </w:r>
          </w:p>
        </w:tc>
        <w:tc>
          <w:tcPr>
            <w:tcW w:w="992" w:type="dxa"/>
          </w:tcPr>
          <w:p w14:paraId="40D09CAE">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2023年6月23日</w:t>
            </w:r>
          </w:p>
        </w:tc>
        <w:tc>
          <w:tcPr>
            <w:tcW w:w="1134" w:type="dxa"/>
          </w:tcPr>
          <w:p w14:paraId="1E178B31">
            <w:pPr>
              <w:spacing w:line="390" w:lineRule="exact"/>
              <w:jc w:val="left"/>
              <w:rPr>
                <w:rFonts w:ascii="宋体" w:hAnsi="宋体" w:eastAsia="等线" w:cs="Times New Roman"/>
                <w:color w:val="000000"/>
                <w:sz w:val="24"/>
              </w:rPr>
            </w:pPr>
            <w:r>
              <w:rPr>
                <w:rFonts w:ascii="宋体" w:hAnsi="宋体" w:eastAsia="等线" w:cs="Times New Roman"/>
                <w:color w:val="000000"/>
                <w:sz w:val="24"/>
              </w:rPr>
              <w:t>6083274</w:t>
            </w:r>
          </w:p>
        </w:tc>
        <w:tc>
          <w:tcPr>
            <w:tcW w:w="850" w:type="dxa"/>
          </w:tcPr>
          <w:p w14:paraId="08439153">
            <w:pPr>
              <w:spacing w:line="390" w:lineRule="exact"/>
              <w:jc w:val="left"/>
              <w:rPr>
                <w:rFonts w:ascii="宋体" w:hAnsi="宋体" w:eastAsia="等线" w:cs="Times New Roman"/>
                <w:color w:val="000000"/>
                <w:sz w:val="24"/>
              </w:rPr>
            </w:pPr>
            <w:r>
              <w:rPr>
                <w:rFonts w:ascii="宋体" w:hAnsi="宋体" w:eastAsia="等线" w:cs="Times New Roman"/>
                <w:color w:val="000000"/>
                <w:sz w:val="24"/>
              </w:rPr>
              <w:t>川北医学院</w:t>
            </w:r>
          </w:p>
        </w:tc>
        <w:tc>
          <w:tcPr>
            <w:tcW w:w="851" w:type="dxa"/>
          </w:tcPr>
          <w:p w14:paraId="232ACB4F">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罗荧萍，鲁琴芮，刘悦</w:t>
            </w:r>
          </w:p>
        </w:tc>
        <w:tc>
          <w:tcPr>
            <w:tcW w:w="1183" w:type="dxa"/>
          </w:tcPr>
          <w:p w14:paraId="3BC66B58">
            <w:pPr>
              <w:spacing w:line="390" w:lineRule="exact"/>
              <w:jc w:val="left"/>
              <w:rPr>
                <w:rFonts w:ascii="宋体" w:hAnsi="宋体" w:eastAsia="等线" w:cs="Times New Roman"/>
                <w:color w:val="000000"/>
                <w:sz w:val="24"/>
              </w:rPr>
            </w:pPr>
            <w:r>
              <w:rPr>
                <w:rFonts w:ascii="宋体" w:hAnsi="宋体" w:eastAsia="等线" w:cs="Times New Roman"/>
                <w:color w:val="000000"/>
                <w:sz w:val="24"/>
              </w:rPr>
              <w:t>有效</w:t>
            </w:r>
          </w:p>
        </w:tc>
      </w:tr>
      <w:tr w14:paraId="7E7A5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7" w:type="dxa"/>
          </w:tcPr>
          <w:p w14:paraId="0F89D85A">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发明专利</w:t>
            </w:r>
          </w:p>
        </w:tc>
        <w:tc>
          <w:tcPr>
            <w:tcW w:w="1997" w:type="dxa"/>
          </w:tcPr>
          <w:p w14:paraId="363DADF1">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一种四溴双酚</w:t>
            </w:r>
            <w:r>
              <w:rPr>
                <w:rFonts w:ascii="宋体" w:hAnsi="宋体" w:eastAsia="等线" w:cs="Times New Roman"/>
                <w:color w:val="000000"/>
                <w:sz w:val="24"/>
              </w:rPr>
              <w:t>A印记复合材料及其应用</w:t>
            </w:r>
          </w:p>
        </w:tc>
        <w:tc>
          <w:tcPr>
            <w:tcW w:w="426" w:type="dxa"/>
          </w:tcPr>
          <w:p w14:paraId="7746C7B2">
            <w:pPr>
              <w:spacing w:line="390" w:lineRule="exact"/>
              <w:jc w:val="left"/>
              <w:rPr>
                <w:rFonts w:ascii="宋体" w:hAnsi="宋体" w:eastAsia="等线" w:cs="Times New Roman"/>
                <w:color w:val="000000"/>
                <w:sz w:val="24"/>
              </w:rPr>
            </w:pPr>
            <w:r>
              <w:rPr>
                <w:rFonts w:ascii="宋体" w:hAnsi="宋体" w:eastAsia="等线" w:cs="Times New Roman"/>
                <w:color w:val="000000"/>
                <w:sz w:val="24"/>
              </w:rPr>
              <w:t>中国</w:t>
            </w:r>
          </w:p>
        </w:tc>
        <w:tc>
          <w:tcPr>
            <w:tcW w:w="709" w:type="dxa"/>
          </w:tcPr>
          <w:p w14:paraId="7167ED00">
            <w:pPr>
              <w:spacing w:line="390" w:lineRule="exact"/>
              <w:jc w:val="left"/>
              <w:rPr>
                <w:rFonts w:ascii="宋体" w:hAnsi="宋体" w:eastAsia="等线" w:cs="Times New Roman"/>
                <w:color w:val="000000"/>
                <w:sz w:val="24"/>
              </w:rPr>
            </w:pPr>
            <w:r>
              <w:rPr>
                <w:rFonts w:ascii="宋体" w:hAnsi="宋体" w:eastAsia="等线" w:cs="Times New Roman"/>
                <w:color w:val="000000"/>
                <w:sz w:val="24"/>
              </w:rPr>
              <w:t>ZL 2018 1 1282263.0</w:t>
            </w:r>
          </w:p>
        </w:tc>
        <w:tc>
          <w:tcPr>
            <w:tcW w:w="992" w:type="dxa"/>
          </w:tcPr>
          <w:p w14:paraId="3AFC0413">
            <w:pPr>
              <w:rPr>
                <w:rFonts w:ascii="宋体" w:hAnsi="宋体" w:eastAsia="等线" w:cs="Times New Roman"/>
                <w:color w:val="000000"/>
                <w:sz w:val="24"/>
              </w:rPr>
            </w:pPr>
            <w:r>
              <w:rPr>
                <w:rFonts w:ascii="宋体" w:hAnsi="宋体" w:eastAsia="等线" w:cs="Times New Roman"/>
                <w:color w:val="000000"/>
                <w:sz w:val="24"/>
              </w:rPr>
              <w:t>2020年11月24日</w:t>
            </w:r>
          </w:p>
          <w:p w14:paraId="7135161B">
            <w:pPr>
              <w:spacing w:line="390" w:lineRule="exact"/>
              <w:jc w:val="left"/>
              <w:rPr>
                <w:rFonts w:ascii="宋体" w:hAnsi="宋体" w:eastAsia="等线" w:cs="Times New Roman"/>
                <w:color w:val="000000"/>
                <w:sz w:val="24"/>
              </w:rPr>
            </w:pPr>
          </w:p>
        </w:tc>
        <w:tc>
          <w:tcPr>
            <w:tcW w:w="1134" w:type="dxa"/>
          </w:tcPr>
          <w:p w14:paraId="1C9DF568">
            <w:pPr>
              <w:spacing w:line="390" w:lineRule="exact"/>
              <w:jc w:val="left"/>
              <w:rPr>
                <w:rFonts w:ascii="宋体" w:hAnsi="宋体" w:eastAsia="等线" w:cs="Times New Roman"/>
                <w:color w:val="000000"/>
                <w:sz w:val="24"/>
              </w:rPr>
            </w:pPr>
            <w:r>
              <w:rPr>
                <w:rFonts w:ascii="宋体" w:hAnsi="宋体" w:eastAsia="等线" w:cs="Times New Roman"/>
                <w:color w:val="000000"/>
                <w:sz w:val="24"/>
              </w:rPr>
              <w:t>4110854</w:t>
            </w:r>
          </w:p>
        </w:tc>
        <w:tc>
          <w:tcPr>
            <w:tcW w:w="850" w:type="dxa"/>
          </w:tcPr>
          <w:p w14:paraId="72DC6A53">
            <w:pPr>
              <w:spacing w:line="390" w:lineRule="exact"/>
              <w:jc w:val="left"/>
              <w:rPr>
                <w:rFonts w:ascii="宋体" w:hAnsi="宋体" w:eastAsia="等线" w:cs="Times New Roman"/>
                <w:color w:val="000000"/>
                <w:sz w:val="24"/>
              </w:rPr>
            </w:pPr>
            <w:r>
              <w:rPr>
                <w:rFonts w:ascii="宋体" w:hAnsi="宋体" w:eastAsia="等线" w:cs="Times New Roman"/>
                <w:color w:val="000000"/>
                <w:sz w:val="24"/>
              </w:rPr>
              <w:t>华中科技大学</w:t>
            </w:r>
          </w:p>
        </w:tc>
        <w:tc>
          <w:tcPr>
            <w:tcW w:w="851" w:type="dxa"/>
          </w:tcPr>
          <w:p w14:paraId="0CE7E04D">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荆涛，曾令帅，黄凯，汪秀，张红星，程玲</w:t>
            </w:r>
          </w:p>
        </w:tc>
        <w:tc>
          <w:tcPr>
            <w:tcW w:w="1183" w:type="dxa"/>
          </w:tcPr>
          <w:p w14:paraId="36949DE6">
            <w:pPr>
              <w:spacing w:line="390" w:lineRule="exact"/>
              <w:jc w:val="left"/>
              <w:rPr>
                <w:rFonts w:ascii="宋体" w:hAnsi="宋体" w:eastAsia="等线" w:cs="Times New Roman"/>
                <w:color w:val="000000"/>
                <w:sz w:val="24"/>
              </w:rPr>
            </w:pPr>
            <w:r>
              <w:rPr>
                <w:rFonts w:ascii="宋体" w:hAnsi="宋体" w:eastAsia="等线" w:cs="Times New Roman"/>
                <w:color w:val="000000"/>
                <w:sz w:val="24"/>
              </w:rPr>
              <w:t>有效</w:t>
            </w:r>
          </w:p>
        </w:tc>
      </w:tr>
      <w:tr w14:paraId="32523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7" w:type="dxa"/>
          </w:tcPr>
          <w:p w14:paraId="36358E83">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发明专利</w:t>
            </w:r>
          </w:p>
        </w:tc>
        <w:tc>
          <w:tcPr>
            <w:tcW w:w="1997" w:type="dxa"/>
          </w:tcPr>
          <w:p w14:paraId="3FA90823">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一种裸眼检测中药材和食品中玉米赤霉烯酮的方法</w:t>
            </w:r>
          </w:p>
        </w:tc>
        <w:tc>
          <w:tcPr>
            <w:tcW w:w="426" w:type="dxa"/>
          </w:tcPr>
          <w:p w14:paraId="52AA0AAB">
            <w:pPr>
              <w:spacing w:line="390" w:lineRule="exact"/>
              <w:jc w:val="left"/>
              <w:rPr>
                <w:rFonts w:ascii="宋体" w:hAnsi="宋体" w:eastAsia="等线" w:cs="Times New Roman"/>
                <w:color w:val="000000"/>
                <w:sz w:val="24"/>
              </w:rPr>
            </w:pPr>
            <w:r>
              <w:rPr>
                <w:rFonts w:ascii="宋体" w:hAnsi="宋体" w:eastAsia="等线" w:cs="Times New Roman"/>
                <w:color w:val="000000"/>
                <w:sz w:val="24"/>
              </w:rPr>
              <w:t>中国</w:t>
            </w:r>
          </w:p>
        </w:tc>
        <w:tc>
          <w:tcPr>
            <w:tcW w:w="709" w:type="dxa"/>
          </w:tcPr>
          <w:p w14:paraId="606827CC">
            <w:pPr>
              <w:spacing w:line="390" w:lineRule="exact"/>
              <w:jc w:val="left"/>
              <w:rPr>
                <w:rFonts w:ascii="宋体" w:hAnsi="宋体" w:eastAsia="等线" w:cs="Times New Roman"/>
                <w:color w:val="000000"/>
                <w:sz w:val="24"/>
              </w:rPr>
            </w:pPr>
            <w:r>
              <w:rPr>
                <w:rFonts w:ascii="宋体" w:hAnsi="宋体" w:eastAsia="等线" w:cs="Times New Roman"/>
                <w:color w:val="000000"/>
                <w:sz w:val="24"/>
              </w:rPr>
              <w:t>ZL 2022 1 0482178.9</w:t>
            </w:r>
          </w:p>
        </w:tc>
        <w:tc>
          <w:tcPr>
            <w:tcW w:w="992" w:type="dxa"/>
          </w:tcPr>
          <w:p w14:paraId="16CBA99C">
            <w:pPr>
              <w:spacing w:line="390" w:lineRule="exact"/>
              <w:jc w:val="left"/>
              <w:rPr>
                <w:rFonts w:ascii="宋体" w:hAnsi="宋体" w:eastAsia="等线" w:cs="Times New Roman"/>
                <w:color w:val="000000"/>
                <w:sz w:val="24"/>
              </w:rPr>
            </w:pPr>
            <w:r>
              <w:rPr>
                <w:rFonts w:ascii="宋体" w:hAnsi="宋体" w:eastAsia="等线" w:cs="Times New Roman"/>
                <w:color w:val="000000"/>
                <w:sz w:val="24"/>
              </w:rPr>
              <w:t>2024年5月14日</w:t>
            </w:r>
          </w:p>
        </w:tc>
        <w:tc>
          <w:tcPr>
            <w:tcW w:w="1134" w:type="dxa"/>
          </w:tcPr>
          <w:p w14:paraId="1E3679C0">
            <w:pPr>
              <w:spacing w:line="390" w:lineRule="exact"/>
              <w:jc w:val="left"/>
              <w:rPr>
                <w:rFonts w:ascii="宋体" w:hAnsi="宋体" w:eastAsia="等线" w:cs="Times New Roman"/>
                <w:color w:val="000000"/>
                <w:sz w:val="24"/>
              </w:rPr>
            </w:pPr>
            <w:r>
              <w:rPr>
                <w:rFonts w:ascii="宋体" w:hAnsi="宋体" w:eastAsia="等线" w:cs="Times New Roman"/>
                <w:color w:val="000000"/>
                <w:sz w:val="24"/>
              </w:rPr>
              <w:t>6997488</w:t>
            </w:r>
          </w:p>
        </w:tc>
        <w:tc>
          <w:tcPr>
            <w:tcW w:w="850" w:type="dxa"/>
          </w:tcPr>
          <w:p w14:paraId="2AE97772">
            <w:pPr>
              <w:spacing w:line="390" w:lineRule="exact"/>
              <w:jc w:val="left"/>
              <w:rPr>
                <w:rFonts w:ascii="宋体" w:hAnsi="宋体" w:eastAsia="等线" w:cs="Times New Roman"/>
                <w:color w:val="000000"/>
                <w:sz w:val="24"/>
              </w:rPr>
            </w:pPr>
            <w:r>
              <w:rPr>
                <w:rFonts w:ascii="宋体" w:hAnsi="宋体" w:eastAsia="等线" w:cs="Times New Roman"/>
                <w:color w:val="000000"/>
                <w:sz w:val="24"/>
              </w:rPr>
              <w:t>川北医学院</w:t>
            </w:r>
          </w:p>
        </w:tc>
        <w:tc>
          <w:tcPr>
            <w:tcW w:w="851" w:type="dxa"/>
          </w:tcPr>
          <w:p w14:paraId="599808D5">
            <w:pPr>
              <w:spacing w:line="390" w:lineRule="exact"/>
              <w:jc w:val="left"/>
              <w:rPr>
                <w:rFonts w:ascii="宋体" w:hAnsi="宋体" w:eastAsia="等线" w:cs="Times New Roman"/>
                <w:color w:val="000000"/>
                <w:sz w:val="24"/>
              </w:rPr>
            </w:pPr>
            <w:r>
              <w:rPr>
                <w:rFonts w:hint="eastAsia" w:ascii="宋体" w:hAnsi="宋体" w:eastAsia="等线" w:cs="Times New Roman"/>
                <w:color w:val="000000"/>
                <w:sz w:val="24"/>
              </w:rPr>
              <w:t>罗荧萍</w:t>
            </w:r>
            <w:r>
              <w:rPr>
                <w:rFonts w:ascii="宋体" w:hAnsi="宋体" w:eastAsia="等线" w:cs="Times New Roman"/>
                <w:color w:val="000000"/>
                <w:sz w:val="24"/>
              </w:rPr>
              <w:t>, 鲁琴芮.</w:t>
            </w:r>
          </w:p>
        </w:tc>
        <w:tc>
          <w:tcPr>
            <w:tcW w:w="1183" w:type="dxa"/>
          </w:tcPr>
          <w:p w14:paraId="3897CAF7">
            <w:pPr>
              <w:spacing w:line="390" w:lineRule="exact"/>
              <w:jc w:val="left"/>
              <w:rPr>
                <w:rFonts w:ascii="宋体" w:hAnsi="宋体" w:eastAsia="等线" w:cs="Times New Roman"/>
                <w:color w:val="000000"/>
                <w:sz w:val="24"/>
              </w:rPr>
            </w:pPr>
            <w:r>
              <w:rPr>
                <w:rFonts w:ascii="宋体" w:hAnsi="宋体" w:eastAsia="等线" w:cs="Times New Roman"/>
                <w:color w:val="000000"/>
                <w:sz w:val="24"/>
              </w:rPr>
              <w:t>有效</w:t>
            </w:r>
          </w:p>
        </w:tc>
      </w:tr>
    </w:tbl>
    <w:p w14:paraId="3A73E5B0">
      <w:pPr>
        <w:spacing w:line="390" w:lineRule="exact"/>
        <w:outlineLvl w:val="1"/>
        <w:rPr>
          <w:rFonts w:ascii="宋体" w:cs="Times New Roman"/>
          <w:b/>
          <w:color w:val="000000"/>
          <w:sz w:val="28"/>
          <w:szCs w:val="20"/>
        </w:rPr>
      </w:pPr>
    </w:p>
    <w:p w14:paraId="419F1527">
      <w:pPr>
        <w:spacing w:line="390" w:lineRule="exact"/>
        <w:outlineLvl w:val="1"/>
        <w:rPr>
          <w:rFonts w:ascii="宋体" w:cs="Times New Roman"/>
          <w:b/>
          <w:color w:val="000000"/>
          <w:sz w:val="28"/>
          <w:szCs w:val="20"/>
        </w:rPr>
      </w:pPr>
    </w:p>
    <w:p w14:paraId="358AFFA9">
      <w:pPr>
        <w:spacing w:line="390" w:lineRule="exact"/>
        <w:jc w:val="center"/>
        <w:outlineLvl w:val="1"/>
        <w:rPr>
          <w:rFonts w:ascii="宋体" w:cs="宋体"/>
          <w:szCs w:val="21"/>
        </w:rPr>
      </w:pPr>
      <w:r>
        <w:rPr>
          <w:rFonts w:hint="eastAsia" w:ascii="宋体" w:cs="Times New Roman"/>
          <w:b/>
          <w:color w:val="000000"/>
          <w:sz w:val="28"/>
          <w:szCs w:val="20"/>
        </w:rPr>
        <w:t>四、论文专著目录</w:t>
      </w:r>
      <w:r>
        <w:rPr>
          <w:rFonts w:hint="eastAsia" w:ascii="宋体" w:cs="宋体"/>
          <w:szCs w:val="21"/>
        </w:rPr>
        <w:t>（不超过5篇/部，非必填）</w:t>
      </w:r>
    </w:p>
    <w:tbl>
      <w:tblPr>
        <w:tblStyle w:val="10"/>
        <w:tblW w:w="91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106"/>
        <w:gridCol w:w="2001"/>
        <w:gridCol w:w="1266"/>
        <w:gridCol w:w="1056"/>
        <w:gridCol w:w="1161"/>
        <w:gridCol w:w="1581"/>
        <w:gridCol w:w="531"/>
        <w:gridCol w:w="636"/>
        <w:gridCol w:w="426"/>
      </w:tblGrid>
      <w:tr w14:paraId="183EC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72" w:type="dxa"/>
            <w:vAlign w:val="center"/>
          </w:tcPr>
          <w:p w14:paraId="747D11DB">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序号</w:t>
            </w:r>
          </w:p>
        </w:tc>
        <w:tc>
          <w:tcPr>
            <w:tcW w:w="2767" w:type="dxa"/>
            <w:vAlign w:val="center"/>
          </w:tcPr>
          <w:p w14:paraId="7D22E49C">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论文（专著）</w:t>
            </w:r>
          </w:p>
          <w:p w14:paraId="3EA91DA6">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名称/刊名</w:t>
            </w:r>
          </w:p>
          <w:p w14:paraId="78E32F36">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/作者</w:t>
            </w:r>
          </w:p>
        </w:tc>
        <w:tc>
          <w:tcPr>
            <w:tcW w:w="300" w:type="dxa"/>
            <w:vAlign w:val="center"/>
          </w:tcPr>
          <w:p w14:paraId="3E971684">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年卷页码</w:t>
            </w:r>
          </w:p>
          <w:p w14:paraId="45478F02">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（xx年xx卷</w:t>
            </w:r>
          </w:p>
          <w:p w14:paraId="65461D63">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xx页）</w:t>
            </w:r>
          </w:p>
        </w:tc>
        <w:tc>
          <w:tcPr>
            <w:tcW w:w="830" w:type="dxa"/>
            <w:vAlign w:val="center"/>
          </w:tcPr>
          <w:p w14:paraId="4DE23AC0">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发表时间（年月日）</w:t>
            </w:r>
          </w:p>
        </w:tc>
        <w:tc>
          <w:tcPr>
            <w:tcW w:w="898" w:type="dxa"/>
            <w:vAlign w:val="center"/>
          </w:tcPr>
          <w:p w14:paraId="7AF4C524">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通讯作者（含共同）</w:t>
            </w:r>
          </w:p>
        </w:tc>
        <w:tc>
          <w:tcPr>
            <w:tcW w:w="728" w:type="dxa"/>
            <w:vAlign w:val="center"/>
          </w:tcPr>
          <w:p w14:paraId="1B3BFDC7">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第一作者（含共同）</w:t>
            </w:r>
          </w:p>
        </w:tc>
        <w:tc>
          <w:tcPr>
            <w:tcW w:w="603" w:type="dxa"/>
            <w:vAlign w:val="center"/>
          </w:tcPr>
          <w:p w14:paraId="67836CF8">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国内作者</w:t>
            </w:r>
          </w:p>
        </w:tc>
        <w:tc>
          <w:tcPr>
            <w:tcW w:w="680" w:type="dxa"/>
            <w:vAlign w:val="center"/>
          </w:tcPr>
          <w:p w14:paraId="37F85058">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他引总次数</w:t>
            </w:r>
          </w:p>
        </w:tc>
        <w:tc>
          <w:tcPr>
            <w:tcW w:w="851" w:type="dxa"/>
            <w:vAlign w:val="center"/>
          </w:tcPr>
          <w:p w14:paraId="4C2F092C">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检索数据库</w:t>
            </w:r>
          </w:p>
        </w:tc>
        <w:tc>
          <w:tcPr>
            <w:tcW w:w="943" w:type="dxa"/>
            <w:vAlign w:val="center"/>
          </w:tcPr>
          <w:p w14:paraId="437FC895">
            <w:pPr>
              <w:adjustRightInd w:val="0"/>
              <w:spacing w:after="50" w:line="300" w:lineRule="exact"/>
              <w:jc w:val="center"/>
              <w:outlineLvl w:val="1"/>
              <w:rPr>
                <w:rFonts w:ascii="宋体" w:hAnsi="宋体" w:cs="宋体"/>
                <w:color w:val="000000"/>
                <w:szCs w:val="28"/>
              </w:rPr>
            </w:pPr>
            <w:r>
              <w:rPr>
                <w:rFonts w:hint="eastAsia" w:ascii="宋体" w:hAnsi="宋体" w:cs="宋体"/>
                <w:color w:val="000000"/>
                <w:szCs w:val="28"/>
              </w:rPr>
              <w:t>论文署名单位是否包含国外单位</w:t>
            </w:r>
          </w:p>
        </w:tc>
      </w:tr>
      <w:tr w14:paraId="50FC9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3" w:hRule="exact"/>
          <w:jc w:val="center"/>
        </w:trPr>
        <w:tc>
          <w:tcPr>
            <w:tcW w:w="572" w:type="dxa"/>
            <w:vAlign w:val="center"/>
          </w:tcPr>
          <w:p w14:paraId="3CB1E7A1">
            <w:pPr>
              <w:adjustRightInd w:val="0"/>
              <w:spacing w:after="50" w:line="320" w:lineRule="exact"/>
              <w:jc w:val="center"/>
              <w:outlineLvl w:val="1"/>
              <w:rPr>
                <w:rFonts w:ascii="Times New Roman" w:hAnsi="Times New Roman" w:eastAsia="等线" w:cs="Times New Roman"/>
                <w:color w:val="000000"/>
                <w:szCs w:val="28"/>
              </w:rPr>
            </w:pPr>
            <w:r>
              <w:rPr>
                <w:rFonts w:ascii="Times New Roman" w:hAnsi="Times New Roman" w:eastAsia="等线" w:cs="Times New Roman"/>
                <w:color w:val="000000"/>
                <w:szCs w:val="28"/>
              </w:rPr>
              <w:t>1</w:t>
            </w:r>
          </w:p>
        </w:tc>
        <w:tc>
          <w:tcPr>
            <w:tcW w:w="2767" w:type="dxa"/>
            <w:vAlign w:val="center"/>
          </w:tcPr>
          <w:p w14:paraId="100FE5C8">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Structure-Directed Screening and Analysis of Thyroid-Disrupting Chemicals Targeting Transthyretin Based on Molecular Recognition and Chromatographic Separation/</w:t>
            </w:r>
            <w:r>
              <w:t xml:space="preserve"> </w:t>
            </w:r>
            <w:r>
              <w:rPr>
                <w:rFonts w:ascii="宋体" w:hAnsi="宋体" w:eastAsia="等线" w:cs="Times New Roman"/>
                <w:color w:val="000000"/>
                <w:szCs w:val="28"/>
              </w:rPr>
              <w:t>Environmental science &amp; technology</w:t>
            </w:r>
          </w:p>
        </w:tc>
        <w:tc>
          <w:tcPr>
            <w:tcW w:w="300" w:type="dxa"/>
            <w:vAlign w:val="center"/>
          </w:tcPr>
          <w:p w14:paraId="4CEED869">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2020, 54 (9), 5437-5445</w:t>
            </w:r>
          </w:p>
        </w:tc>
        <w:tc>
          <w:tcPr>
            <w:tcW w:w="830" w:type="dxa"/>
            <w:vAlign w:val="center"/>
          </w:tcPr>
          <w:p w14:paraId="01F11B2D">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2020.04.06</w:t>
            </w:r>
          </w:p>
        </w:tc>
        <w:tc>
          <w:tcPr>
            <w:tcW w:w="898" w:type="dxa"/>
            <w:vAlign w:val="center"/>
          </w:tcPr>
          <w:p w14:paraId="19AC3776">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Tao Jing</w:t>
            </w:r>
          </w:p>
        </w:tc>
        <w:tc>
          <w:tcPr>
            <w:tcW w:w="728" w:type="dxa"/>
            <w:vAlign w:val="center"/>
          </w:tcPr>
          <w:p w14:paraId="7ED8607D">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Huang Kai</w:t>
            </w:r>
          </w:p>
        </w:tc>
        <w:tc>
          <w:tcPr>
            <w:tcW w:w="603" w:type="dxa"/>
          </w:tcPr>
          <w:p w14:paraId="4DFA9C36">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Wang Xiu, Zhang Hongxing, Zeng Lingshuai, Zhang Xiu, Wang Bingmao, Zhou Yikai</w:t>
            </w:r>
          </w:p>
        </w:tc>
        <w:tc>
          <w:tcPr>
            <w:tcW w:w="680" w:type="dxa"/>
            <w:vAlign w:val="center"/>
          </w:tcPr>
          <w:p w14:paraId="2247A6C0">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16</w:t>
            </w:r>
          </w:p>
        </w:tc>
        <w:tc>
          <w:tcPr>
            <w:tcW w:w="851" w:type="dxa"/>
            <w:vAlign w:val="center"/>
          </w:tcPr>
          <w:p w14:paraId="31D4D324">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SCIE</w:t>
            </w:r>
          </w:p>
        </w:tc>
        <w:tc>
          <w:tcPr>
            <w:tcW w:w="943" w:type="dxa"/>
          </w:tcPr>
          <w:p w14:paraId="4CB4D92E">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否</w:t>
            </w:r>
          </w:p>
        </w:tc>
      </w:tr>
      <w:tr w14:paraId="2E22C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1" w:hRule="exact"/>
          <w:jc w:val="center"/>
        </w:trPr>
        <w:tc>
          <w:tcPr>
            <w:tcW w:w="572" w:type="dxa"/>
            <w:vAlign w:val="center"/>
          </w:tcPr>
          <w:p w14:paraId="042E3FFA">
            <w:pPr>
              <w:adjustRightInd w:val="0"/>
              <w:spacing w:after="50" w:line="320" w:lineRule="exact"/>
              <w:jc w:val="center"/>
              <w:outlineLvl w:val="1"/>
              <w:rPr>
                <w:rFonts w:ascii="Times New Roman" w:hAnsi="Times New Roman" w:eastAsia="等线" w:cs="Times New Roman"/>
                <w:color w:val="000000"/>
                <w:szCs w:val="28"/>
              </w:rPr>
            </w:pPr>
            <w:r>
              <w:rPr>
                <w:rFonts w:ascii="Times New Roman" w:hAnsi="Times New Roman" w:eastAsia="等线" w:cs="Times New Roman"/>
                <w:color w:val="000000"/>
                <w:szCs w:val="28"/>
              </w:rPr>
              <w:t>2</w:t>
            </w:r>
          </w:p>
        </w:tc>
        <w:tc>
          <w:tcPr>
            <w:tcW w:w="2767" w:type="dxa"/>
            <w:vAlign w:val="center"/>
          </w:tcPr>
          <w:p w14:paraId="7D590EB7">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Label-Free, Reusable, Equipment-Free, and Visual Detection of Hydrogen Sulfide Using a Colorimetric and Fluorescent Dual-Mode Sensing Platform</w:t>
            </w:r>
          </w:p>
        </w:tc>
        <w:tc>
          <w:tcPr>
            <w:tcW w:w="300" w:type="dxa"/>
            <w:vAlign w:val="center"/>
          </w:tcPr>
          <w:p w14:paraId="5C968BD3">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2023,95:5920-5926</w:t>
            </w:r>
          </w:p>
        </w:tc>
        <w:tc>
          <w:tcPr>
            <w:tcW w:w="830" w:type="dxa"/>
            <w:vAlign w:val="center"/>
          </w:tcPr>
          <w:p w14:paraId="167EF58C">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2023．3.29</w:t>
            </w:r>
          </w:p>
        </w:tc>
        <w:tc>
          <w:tcPr>
            <w:tcW w:w="898" w:type="dxa"/>
            <w:vAlign w:val="center"/>
          </w:tcPr>
          <w:p w14:paraId="1F9EB1CF">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Qiang Su, and Yingping Luo</w:t>
            </w:r>
          </w:p>
        </w:tc>
        <w:tc>
          <w:tcPr>
            <w:tcW w:w="728" w:type="dxa"/>
            <w:vAlign w:val="center"/>
          </w:tcPr>
          <w:p w14:paraId="261823A6">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Qiao Liu</w:t>
            </w:r>
          </w:p>
        </w:tc>
        <w:tc>
          <w:tcPr>
            <w:tcW w:w="603" w:type="dxa"/>
          </w:tcPr>
          <w:p w14:paraId="071C5BCB">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 xml:space="preserve">Qiao Liu, Yue Liu, Qing Wan, Qinrui Lu, Jun Liu, Yonggang Ren, </w:t>
            </w:r>
            <w:r>
              <w:rPr>
                <w:rFonts w:ascii="宋体" w:hAnsi="宋体" w:eastAsia="等线" w:cs="Times New Roman"/>
                <w:color w:val="000000" w:themeColor="text1"/>
                <w:szCs w:val="28"/>
                <w14:textFill>
                  <w14:solidFill>
                    <w14:schemeClr w14:val="tx1"/>
                  </w14:solidFill>
                </w14:textFill>
              </w:rPr>
              <w:t>Jiancai Tang,</w:t>
            </w:r>
            <w:r>
              <w:rPr>
                <w:rFonts w:ascii="宋体" w:hAnsi="宋体" w:eastAsia="等线" w:cs="Times New Roman"/>
                <w:color w:val="FF0000"/>
                <w:szCs w:val="28"/>
              </w:rPr>
              <w:t xml:space="preserve"> </w:t>
            </w:r>
            <w:r>
              <w:rPr>
                <w:rFonts w:ascii="宋体" w:hAnsi="宋体" w:eastAsia="等线" w:cs="Times New Roman"/>
                <w:color w:val="000000"/>
                <w:szCs w:val="28"/>
              </w:rPr>
              <w:t>Qiang Su, and Yingping Luo</w:t>
            </w:r>
          </w:p>
        </w:tc>
        <w:tc>
          <w:tcPr>
            <w:tcW w:w="680" w:type="dxa"/>
            <w:vAlign w:val="center"/>
          </w:tcPr>
          <w:p w14:paraId="65FA2EF8">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17</w:t>
            </w:r>
          </w:p>
        </w:tc>
        <w:tc>
          <w:tcPr>
            <w:tcW w:w="851" w:type="dxa"/>
            <w:vAlign w:val="center"/>
          </w:tcPr>
          <w:p w14:paraId="49E8D116">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SCIE</w:t>
            </w:r>
          </w:p>
        </w:tc>
        <w:tc>
          <w:tcPr>
            <w:tcW w:w="943" w:type="dxa"/>
          </w:tcPr>
          <w:p w14:paraId="03AA0F8A">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否</w:t>
            </w:r>
          </w:p>
        </w:tc>
      </w:tr>
      <w:tr w14:paraId="7898C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9" w:hRule="exact"/>
          <w:jc w:val="center"/>
        </w:trPr>
        <w:tc>
          <w:tcPr>
            <w:tcW w:w="572" w:type="dxa"/>
            <w:vAlign w:val="center"/>
          </w:tcPr>
          <w:p w14:paraId="081563ED">
            <w:pPr>
              <w:adjustRightInd w:val="0"/>
              <w:spacing w:after="50" w:line="320" w:lineRule="exact"/>
              <w:jc w:val="center"/>
              <w:outlineLvl w:val="1"/>
              <w:rPr>
                <w:rFonts w:ascii="Times New Roman" w:hAnsi="Times New Roman" w:eastAsia="等线" w:cs="Times New Roman"/>
                <w:color w:val="000000"/>
                <w:szCs w:val="28"/>
              </w:rPr>
            </w:pPr>
            <w:r>
              <w:rPr>
                <w:rFonts w:ascii="Times New Roman" w:hAnsi="Times New Roman" w:eastAsia="等线" w:cs="Times New Roman"/>
                <w:color w:val="000000"/>
                <w:szCs w:val="28"/>
              </w:rPr>
              <w:t>3</w:t>
            </w:r>
          </w:p>
        </w:tc>
        <w:tc>
          <w:tcPr>
            <w:tcW w:w="2767" w:type="dxa"/>
            <w:vAlign w:val="center"/>
          </w:tcPr>
          <w:p w14:paraId="37A738D7">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Protective effect of folic acid on MNNG-induced proliferation of esophageal epithelial cells via the PI3K/AKT/mTOR signaling pathway</w:t>
            </w:r>
          </w:p>
        </w:tc>
        <w:tc>
          <w:tcPr>
            <w:tcW w:w="300" w:type="dxa"/>
            <w:vAlign w:val="center"/>
          </w:tcPr>
          <w:p w14:paraId="253C5D5C">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2024,133:109702</w:t>
            </w:r>
          </w:p>
        </w:tc>
        <w:tc>
          <w:tcPr>
            <w:tcW w:w="830" w:type="dxa"/>
            <w:vAlign w:val="center"/>
          </w:tcPr>
          <w:p w14:paraId="17D65051">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2024.7.12</w:t>
            </w:r>
          </w:p>
        </w:tc>
        <w:tc>
          <w:tcPr>
            <w:tcW w:w="898" w:type="dxa"/>
            <w:vAlign w:val="center"/>
          </w:tcPr>
          <w:p w14:paraId="13D3E841">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Suizhi Cheng</w:t>
            </w:r>
          </w:p>
        </w:tc>
        <w:tc>
          <w:tcPr>
            <w:tcW w:w="728" w:type="dxa"/>
            <w:vAlign w:val="center"/>
          </w:tcPr>
          <w:p w14:paraId="4381BB43">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Zhenzhong Liu</w:t>
            </w:r>
          </w:p>
        </w:tc>
        <w:tc>
          <w:tcPr>
            <w:tcW w:w="603" w:type="dxa"/>
          </w:tcPr>
          <w:p w14:paraId="62F9D546">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 xml:space="preserve">Suizhi Cheng  , Jin Chen  , Qianhui Li  , Yuhong Nie  , Ting Ni , Caiting Peng  , Xi Luo  , Pazilat Yasin ,Shumin Zhang  , </w:t>
            </w:r>
            <w:r>
              <w:rPr>
                <w:rFonts w:ascii="宋体" w:hAnsi="宋体" w:eastAsia="等线" w:cs="Times New Roman"/>
                <w:color w:val="000000" w:themeColor="text1"/>
                <w:szCs w:val="28"/>
                <w14:textFill>
                  <w14:solidFill>
                    <w14:schemeClr w14:val="tx1"/>
                  </w14:solidFill>
                </w14:textFill>
              </w:rPr>
              <w:t xml:space="preserve">Jiancai Tang  </w:t>
            </w:r>
            <w:r>
              <w:rPr>
                <w:rFonts w:ascii="宋体" w:hAnsi="宋体" w:eastAsia="等线" w:cs="Times New Roman"/>
                <w:color w:val="000000"/>
                <w:szCs w:val="28"/>
              </w:rPr>
              <w:t>, Zhenzhong Liu</w:t>
            </w:r>
          </w:p>
        </w:tc>
        <w:tc>
          <w:tcPr>
            <w:tcW w:w="680" w:type="dxa"/>
            <w:vAlign w:val="center"/>
          </w:tcPr>
          <w:p w14:paraId="2577D9C3">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0</w:t>
            </w:r>
          </w:p>
        </w:tc>
        <w:tc>
          <w:tcPr>
            <w:tcW w:w="851" w:type="dxa"/>
            <w:vAlign w:val="center"/>
          </w:tcPr>
          <w:p w14:paraId="01E9E6EF">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SCIE</w:t>
            </w:r>
          </w:p>
        </w:tc>
        <w:tc>
          <w:tcPr>
            <w:tcW w:w="943" w:type="dxa"/>
          </w:tcPr>
          <w:p w14:paraId="054D112E">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否</w:t>
            </w:r>
          </w:p>
        </w:tc>
      </w:tr>
      <w:tr w14:paraId="2F48E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6" w:hRule="exact"/>
          <w:jc w:val="center"/>
        </w:trPr>
        <w:tc>
          <w:tcPr>
            <w:tcW w:w="572" w:type="dxa"/>
            <w:vAlign w:val="center"/>
          </w:tcPr>
          <w:p w14:paraId="182DA6F9">
            <w:pPr>
              <w:adjustRightInd w:val="0"/>
              <w:spacing w:after="50" w:line="320" w:lineRule="exact"/>
              <w:jc w:val="center"/>
              <w:outlineLvl w:val="1"/>
              <w:rPr>
                <w:rFonts w:ascii="Times New Roman" w:hAnsi="Times New Roman" w:eastAsia="等线" w:cs="Times New Roman"/>
                <w:color w:val="000000"/>
                <w:szCs w:val="28"/>
              </w:rPr>
            </w:pPr>
            <w:r>
              <w:rPr>
                <w:rFonts w:ascii="Times New Roman" w:hAnsi="Times New Roman" w:eastAsia="等线" w:cs="Times New Roman"/>
                <w:color w:val="000000"/>
                <w:szCs w:val="28"/>
              </w:rPr>
              <w:t>4</w:t>
            </w:r>
          </w:p>
        </w:tc>
        <w:tc>
          <w:tcPr>
            <w:tcW w:w="2767" w:type="dxa"/>
            <w:vAlign w:val="center"/>
          </w:tcPr>
          <w:p w14:paraId="2A6B566E">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Integrated ion imprinted polymers-paper composites for selective and sensitive detection of Cd(II) ions</w:t>
            </w:r>
          </w:p>
        </w:tc>
        <w:tc>
          <w:tcPr>
            <w:tcW w:w="300" w:type="dxa"/>
            <w:vAlign w:val="center"/>
          </w:tcPr>
          <w:p w14:paraId="72DF87BC">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2017，333：137-143</w:t>
            </w:r>
          </w:p>
        </w:tc>
        <w:tc>
          <w:tcPr>
            <w:tcW w:w="830" w:type="dxa"/>
            <w:vAlign w:val="center"/>
          </w:tcPr>
          <w:p w14:paraId="046725F8">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2017.3.18</w:t>
            </w:r>
          </w:p>
        </w:tc>
        <w:tc>
          <w:tcPr>
            <w:tcW w:w="898" w:type="dxa"/>
            <w:vAlign w:val="center"/>
          </w:tcPr>
          <w:p w14:paraId="04285983">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Kai Huang</w:t>
            </w:r>
          </w:p>
        </w:tc>
        <w:tc>
          <w:tcPr>
            <w:tcW w:w="728" w:type="dxa"/>
            <w:vAlign w:val="center"/>
          </w:tcPr>
          <w:p w14:paraId="1AFEB5D5">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Tao Jing.</w:t>
            </w:r>
          </w:p>
        </w:tc>
        <w:tc>
          <w:tcPr>
            <w:tcW w:w="603" w:type="dxa"/>
          </w:tcPr>
          <w:p w14:paraId="38926B8B">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Kai Huang, Ying Chen, Feng Zhou, Xiaoya Zhaoc, Jiafa Liu, Surong Mei,Yikai Zhou, Tao Jing.</w:t>
            </w:r>
          </w:p>
        </w:tc>
        <w:tc>
          <w:tcPr>
            <w:tcW w:w="680" w:type="dxa"/>
            <w:vAlign w:val="center"/>
          </w:tcPr>
          <w:p w14:paraId="6434920E">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66</w:t>
            </w:r>
          </w:p>
        </w:tc>
        <w:tc>
          <w:tcPr>
            <w:tcW w:w="851" w:type="dxa"/>
            <w:vAlign w:val="center"/>
          </w:tcPr>
          <w:p w14:paraId="4FD405C4">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SCIE</w:t>
            </w:r>
          </w:p>
        </w:tc>
        <w:tc>
          <w:tcPr>
            <w:tcW w:w="943" w:type="dxa"/>
          </w:tcPr>
          <w:p w14:paraId="13EE1283">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否</w:t>
            </w:r>
          </w:p>
        </w:tc>
      </w:tr>
      <w:tr w14:paraId="19ED1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4" w:hRule="exact"/>
          <w:jc w:val="center"/>
        </w:trPr>
        <w:tc>
          <w:tcPr>
            <w:tcW w:w="572" w:type="dxa"/>
            <w:vAlign w:val="center"/>
          </w:tcPr>
          <w:p w14:paraId="1B6E4C28">
            <w:pPr>
              <w:adjustRightInd w:val="0"/>
              <w:spacing w:after="50" w:line="320" w:lineRule="exact"/>
              <w:jc w:val="center"/>
              <w:outlineLvl w:val="1"/>
              <w:rPr>
                <w:rFonts w:ascii="Times New Roman" w:hAnsi="Times New Roman" w:eastAsia="等线" w:cs="Times New Roman"/>
                <w:color w:val="000000"/>
                <w:szCs w:val="28"/>
              </w:rPr>
            </w:pPr>
            <w:r>
              <w:rPr>
                <w:rFonts w:ascii="Times New Roman" w:hAnsi="Times New Roman" w:eastAsia="等线" w:cs="Times New Roman"/>
                <w:color w:val="000000"/>
                <w:szCs w:val="28"/>
              </w:rPr>
              <w:t>5</w:t>
            </w:r>
          </w:p>
        </w:tc>
        <w:tc>
          <w:tcPr>
            <w:tcW w:w="2767" w:type="dxa"/>
            <w:vAlign w:val="center"/>
          </w:tcPr>
          <w:p w14:paraId="716C6CBA">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三甲基氯化锡染毒致小鼠过氧化损伤分析</w:t>
            </w:r>
          </w:p>
        </w:tc>
        <w:tc>
          <w:tcPr>
            <w:tcW w:w="300" w:type="dxa"/>
            <w:vAlign w:val="center"/>
          </w:tcPr>
          <w:p w14:paraId="6793FF5F">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2016，30（3）：221-223</w:t>
            </w:r>
          </w:p>
        </w:tc>
        <w:tc>
          <w:tcPr>
            <w:tcW w:w="830" w:type="dxa"/>
            <w:vAlign w:val="center"/>
          </w:tcPr>
          <w:p w14:paraId="33B8DD9E">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2016.4.1</w:t>
            </w:r>
          </w:p>
        </w:tc>
        <w:tc>
          <w:tcPr>
            <w:tcW w:w="898" w:type="dxa"/>
            <w:vAlign w:val="center"/>
          </w:tcPr>
          <w:p w14:paraId="561AC4C6">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刘振中</w:t>
            </w:r>
          </w:p>
        </w:tc>
        <w:tc>
          <w:tcPr>
            <w:tcW w:w="728" w:type="dxa"/>
            <w:vAlign w:val="center"/>
          </w:tcPr>
          <w:p w14:paraId="5BFBB99E">
            <w:pPr>
              <w:adjustRightInd w:val="0"/>
              <w:spacing w:after="50" w:line="320" w:lineRule="exact"/>
              <w:jc w:val="center"/>
              <w:rPr>
                <w:rFonts w:ascii="宋体" w:hAnsi="宋体" w:eastAsia="等线" w:cs="Times New Roman"/>
                <w:color w:val="000000"/>
                <w:szCs w:val="28"/>
              </w:rPr>
            </w:pPr>
            <w:r>
              <w:rPr>
                <w:rFonts w:ascii="宋体" w:hAnsi="宋体" w:eastAsia="等线" w:cs="Times New Roman"/>
                <w:color w:val="000000"/>
                <w:szCs w:val="28"/>
              </w:rPr>
              <w:t>周振华</w:t>
            </w:r>
          </w:p>
        </w:tc>
        <w:tc>
          <w:tcPr>
            <w:tcW w:w="603" w:type="dxa"/>
          </w:tcPr>
          <w:p w14:paraId="630CCC7F">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刘振中，王美凤，周政华</w:t>
            </w:r>
          </w:p>
        </w:tc>
        <w:tc>
          <w:tcPr>
            <w:tcW w:w="680" w:type="dxa"/>
            <w:vAlign w:val="center"/>
          </w:tcPr>
          <w:p w14:paraId="7D0E05C4">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3</w:t>
            </w:r>
          </w:p>
        </w:tc>
        <w:tc>
          <w:tcPr>
            <w:tcW w:w="851" w:type="dxa"/>
            <w:vAlign w:val="center"/>
          </w:tcPr>
          <w:p w14:paraId="1E00240B">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CNKI</w:t>
            </w:r>
          </w:p>
        </w:tc>
        <w:tc>
          <w:tcPr>
            <w:tcW w:w="943" w:type="dxa"/>
          </w:tcPr>
          <w:p w14:paraId="06738CCC">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否</w:t>
            </w:r>
          </w:p>
        </w:tc>
      </w:tr>
      <w:tr w14:paraId="59CCA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6698" w:type="dxa"/>
            <w:gridSpan w:val="7"/>
            <w:vAlign w:val="center"/>
          </w:tcPr>
          <w:p w14:paraId="3787BC2D">
            <w:pPr>
              <w:adjustRightInd w:val="0"/>
              <w:spacing w:after="50" w:line="320" w:lineRule="exact"/>
              <w:jc w:val="center"/>
              <w:outlineLvl w:val="1"/>
              <w:rPr>
                <w:rFonts w:ascii="宋体" w:hAnsi="宋体" w:eastAsia="等线" w:cs="Times New Roman"/>
                <w:color w:val="000000"/>
                <w:szCs w:val="28"/>
              </w:rPr>
            </w:pPr>
            <w:r>
              <w:rPr>
                <w:rFonts w:hint="eastAsia" w:ascii="宋体" w:hAnsi="宋体" w:cs="宋体"/>
                <w:color w:val="000000"/>
                <w:szCs w:val="28"/>
              </w:rPr>
              <w:t>合  计</w:t>
            </w:r>
          </w:p>
        </w:tc>
        <w:tc>
          <w:tcPr>
            <w:tcW w:w="680" w:type="dxa"/>
            <w:vAlign w:val="center"/>
          </w:tcPr>
          <w:p w14:paraId="6D4ADBB8">
            <w:pPr>
              <w:adjustRightInd w:val="0"/>
              <w:spacing w:after="50" w:line="320" w:lineRule="exact"/>
              <w:jc w:val="center"/>
              <w:rPr>
                <w:rFonts w:ascii="宋体" w:hAnsi="宋体" w:eastAsia="等线" w:cs="Times New Roman"/>
                <w:color w:val="000000"/>
                <w:szCs w:val="28"/>
              </w:rPr>
            </w:pPr>
            <w:r>
              <w:rPr>
                <w:rFonts w:hint="eastAsia" w:ascii="宋体" w:hAnsi="宋体" w:eastAsia="等线" w:cs="Times New Roman"/>
                <w:color w:val="000000"/>
                <w:szCs w:val="28"/>
              </w:rPr>
              <w:t>102</w:t>
            </w:r>
          </w:p>
        </w:tc>
        <w:tc>
          <w:tcPr>
            <w:tcW w:w="851" w:type="dxa"/>
            <w:vAlign w:val="center"/>
          </w:tcPr>
          <w:p w14:paraId="6BDC05B9">
            <w:pPr>
              <w:adjustRightInd w:val="0"/>
              <w:spacing w:after="50" w:line="320" w:lineRule="exact"/>
              <w:jc w:val="center"/>
              <w:rPr>
                <w:rFonts w:ascii="宋体" w:hAnsi="宋体" w:eastAsia="等线" w:cs="Times New Roman"/>
                <w:color w:val="000000"/>
                <w:szCs w:val="28"/>
              </w:rPr>
            </w:pPr>
          </w:p>
        </w:tc>
        <w:tc>
          <w:tcPr>
            <w:tcW w:w="943" w:type="dxa"/>
          </w:tcPr>
          <w:p w14:paraId="72D468FD">
            <w:pPr>
              <w:adjustRightInd w:val="0"/>
              <w:spacing w:after="50" w:line="320" w:lineRule="exact"/>
              <w:jc w:val="center"/>
              <w:rPr>
                <w:rFonts w:ascii="宋体" w:hAnsi="宋体" w:eastAsia="等线" w:cs="Times New Roman"/>
                <w:color w:val="000000"/>
                <w:szCs w:val="28"/>
              </w:rPr>
            </w:pPr>
          </w:p>
        </w:tc>
      </w:tr>
    </w:tbl>
    <w:p w14:paraId="1433ACF0"/>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F3E19-B8E2-4D26-9DC2-2A6C493C6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481F8BA9-CEDA-42C4-AFF8-190690102C13}"/>
  </w:font>
  <w:font w:name="等线">
    <w:panose1 w:val="02010600030101010101"/>
    <w:charset w:val="86"/>
    <w:family w:val="auto"/>
    <w:pitch w:val="default"/>
    <w:sig w:usb0="A00002BF" w:usb1="38CF7CFA" w:usb2="00000016" w:usb3="00000000" w:csb0="0004000F" w:csb1="00000000"/>
    <w:embedRegular r:id="rId3" w:fontKey="{B5447025-97B9-4430-9405-63EE19D90A3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209268"/>
      <w:docPartList>
        <w:docPartGallery w:val="Quick Parts"/>
      </w:docPartList>
    </w:sdtPr>
    <w:sdtContent>
      <w:p w14:paraId="1176D63F">
        <w:pPr>
          <w:pStyle w:val="8"/>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14:paraId="7BD7EF6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2ZkNmIwZDE2ZmY0MDExZDJlOGM5MTA2MTY4ZjIifQ=="/>
  </w:docVars>
  <w:rsids>
    <w:rsidRoot w:val="00544DEB"/>
    <w:rsid w:val="00012AB2"/>
    <w:rsid w:val="000246FF"/>
    <w:rsid w:val="000428E4"/>
    <w:rsid w:val="000871B5"/>
    <w:rsid w:val="00095D3D"/>
    <w:rsid w:val="00096751"/>
    <w:rsid w:val="000D6389"/>
    <w:rsid w:val="000F2D2F"/>
    <w:rsid w:val="00102596"/>
    <w:rsid w:val="00106FEE"/>
    <w:rsid w:val="00110D52"/>
    <w:rsid w:val="00111E2A"/>
    <w:rsid w:val="00121820"/>
    <w:rsid w:val="0012584A"/>
    <w:rsid w:val="00126018"/>
    <w:rsid w:val="00126C33"/>
    <w:rsid w:val="0014565E"/>
    <w:rsid w:val="00157C2B"/>
    <w:rsid w:val="001613F6"/>
    <w:rsid w:val="00163F81"/>
    <w:rsid w:val="001B58E9"/>
    <w:rsid w:val="001C22FA"/>
    <w:rsid w:val="001D036F"/>
    <w:rsid w:val="001D3E07"/>
    <w:rsid w:val="00207760"/>
    <w:rsid w:val="0021718B"/>
    <w:rsid w:val="002324D2"/>
    <w:rsid w:val="0024102D"/>
    <w:rsid w:val="0025342C"/>
    <w:rsid w:val="002742EC"/>
    <w:rsid w:val="002814A3"/>
    <w:rsid w:val="00295A6A"/>
    <w:rsid w:val="002971F1"/>
    <w:rsid w:val="002A1D64"/>
    <w:rsid w:val="002A7091"/>
    <w:rsid w:val="002B1928"/>
    <w:rsid w:val="002C00B4"/>
    <w:rsid w:val="002E7C83"/>
    <w:rsid w:val="002F0B16"/>
    <w:rsid w:val="003339D1"/>
    <w:rsid w:val="003445B1"/>
    <w:rsid w:val="00345573"/>
    <w:rsid w:val="003560E0"/>
    <w:rsid w:val="00356A17"/>
    <w:rsid w:val="00363562"/>
    <w:rsid w:val="00364535"/>
    <w:rsid w:val="00394293"/>
    <w:rsid w:val="003965EA"/>
    <w:rsid w:val="003A0D5F"/>
    <w:rsid w:val="003C1796"/>
    <w:rsid w:val="003E42E3"/>
    <w:rsid w:val="004057AB"/>
    <w:rsid w:val="00413E4B"/>
    <w:rsid w:val="0042146E"/>
    <w:rsid w:val="00433D25"/>
    <w:rsid w:val="00436BAC"/>
    <w:rsid w:val="0047638E"/>
    <w:rsid w:val="00481DDA"/>
    <w:rsid w:val="00485B4F"/>
    <w:rsid w:val="004930DF"/>
    <w:rsid w:val="00494D1C"/>
    <w:rsid w:val="004A5E73"/>
    <w:rsid w:val="004C59EE"/>
    <w:rsid w:val="004C625E"/>
    <w:rsid w:val="004D60B5"/>
    <w:rsid w:val="004D62D0"/>
    <w:rsid w:val="004D6E7E"/>
    <w:rsid w:val="004D6FB1"/>
    <w:rsid w:val="004F086F"/>
    <w:rsid w:val="0050200F"/>
    <w:rsid w:val="005061FF"/>
    <w:rsid w:val="00513BDC"/>
    <w:rsid w:val="005277CE"/>
    <w:rsid w:val="00544DEB"/>
    <w:rsid w:val="00546132"/>
    <w:rsid w:val="00554B54"/>
    <w:rsid w:val="00556789"/>
    <w:rsid w:val="005620D7"/>
    <w:rsid w:val="00566633"/>
    <w:rsid w:val="00567406"/>
    <w:rsid w:val="00572BEE"/>
    <w:rsid w:val="00577A11"/>
    <w:rsid w:val="0058206C"/>
    <w:rsid w:val="00582D28"/>
    <w:rsid w:val="00583F2B"/>
    <w:rsid w:val="005A1931"/>
    <w:rsid w:val="005A3763"/>
    <w:rsid w:val="005A3765"/>
    <w:rsid w:val="005C48CF"/>
    <w:rsid w:val="005D276B"/>
    <w:rsid w:val="005D37EA"/>
    <w:rsid w:val="005E1BEE"/>
    <w:rsid w:val="005F7072"/>
    <w:rsid w:val="00601085"/>
    <w:rsid w:val="00625358"/>
    <w:rsid w:val="00631F60"/>
    <w:rsid w:val="006472AB"/>
    <w:rsid w:val="0066461D"/>
    <w:rsid w:val="00665878"/>
    <w:rsid w:val="00690AD7"/>
    <w:rsid w:val="00692267"/>
    <w:rsid w:val="006A0E3E"/>
    <w:rsid w:val="006A7D22"/>
    <w:rsid w:val="006B3B48"/>
    <w:rsid w:val="006B4E00"/>
    <w:rsid w:val="006D3EB0"/>
    <w:rsid w:val="006D59D2"/>
    <w:rsid w:val="006E43D8"/>
    <w:rsid w:val="006F52F9"/>
    <w:rsid w:val="007054C9"/>
    <w:rsid w:val="00710087"/>
    <w:rsid w:val="00716BA5"/>
    <w:rsid w:val="00723829"/>
    <w:rsid w:val="00723B05"/>
    <w:rsid w:val="00736E89"/>
    <w:rsid w:val="0074600A"/>
    <w:rsid w:val="007571C1"/>
    <w:rsid w:val="00780347"/>
    <w:rsid w:val="0078190B"/>
    <w:rsid w:val="00790BCE"/>
    <w:rsid w:val="00795B0A"/>
    <w:rsid w:val="007B203D"/>
    <w:rsid w:val="007D4887"/>
    <w:rsid w:val="007F00E0"/>
    <w:rsid w:val="00802CB6"/>
    <w:rsid w:val="008310B6"/>
    <w:rsid w:val="00831BB6"/>
    <w:rsid w:val="0085552C"/>
    <w:rsid w:val="00883866"/>
    <w:rsid w:val="008A287F"/>
    <w:rsid w:val="008B1982"/>
    <w:rsid w:val="008B69B9"/>
    <w:rsid w:val="008C72B3"/>
    <w:rsid w:val="008D37D4"/>
    <w:rsid w:val="008E46F7"/>
    <w:rsid w:val="008F4B8D"/>
    <w:rsid w:val="008F4C47"/>
    <w:rsid w:val="0091189B"/>
    <w:rsid w:val="0096158C"/>
    <w:rsid w:val="0097174E"/>
    <w:rsid w:val="009A4C56"/>
    <w:rsid w:val="009B0585"/>
    <w:rsid w:val="009B25AF"/>
    <w:rsid w:val="009B36DF"/>
    <w:rsid w:val="009B4E46"/>
    <w:rsid w:val="009E706A"/>
    <w:rsid w:val="009F0072"/>
    <w:rsid w:val="009F3778"/>
    <w:rsid w:val="00A035D9"/>
    <w:rsid w:val="00A2676E"/>
    <w:rsid w:val="00A46821"/>
    <w:rsid w:val="00A46E75"/>
    <w:rsid w:val="00A94424"/>
    <w:rsid w:val="00AB2112"/>
    <w:rsid w:val="00AB6AEB"/>
    <w:rsid w:val="00AD40BB"/>
    <w:rsid w:val="00AE2822"/>
    <w:rsid w:val="00AE64F7"/>
    <w:rsid w:val="00B05EB6"/>
    <w:rsid w:val="00B132B8"/>
    <w:rsid w:val="00B33025"/>
    <w:rsid w:val="00B35D0D"/>
    <w:rsid w:val="00B37FBF"/>
    <w:rsid w:val="00B453B3"/>
    <w:rsid w:val="00B456AC"/>
    <w:rsid w:val="00B4652E"/>
    <w:rsid w:val="00B54C96"/>
    <w:rsid w:val="00B62C2D"/>
    <w:rsid w:val="00B80069"/>
    <w:rsid w:val="00BD7209"/>
    <w:rsid w:val="00BE36F2"/>
    <w:rsid w:val="00BF1E28"/>
    <w:rsid w:val="00C04473"/>
    <w:rsid w:val="00C23C32"/>
    <w:rsid w:val="00C244FD"/>
    <w:rsid w:val="00C27B03"/>
    <w:rsid w:val="00C32F6F"/>
    <w:rsid w:val="00C34F18"/>
    <w:rsid w:val="00C415A1"/>
    <w:rsid w:val="00C52BD2"/>
    <w:rsid w:val="00C952FA"/>
    <w:rsid w:val="00C96114"/>
    <w:rsid w:val="00CA411C"/>
    <w:rsid w:val="00CB1626"/>
    <w:rsid w:val="00CB3F05"/>
    <w:rsid w:val="00CE2853"/>
    <w:rsid w:val="00CE306F"/>
    <w:rsid w:val="00CF1FC0"/>
    <w:rsid w:val="00D06FC8"/>
    <w:rsid w:val="00D13DA8"/>
    <w:rsid w:val="00D15036"/>
    <w:rsid w:val="00D23063"/>
    <w:rsid w:val="00D47818"/>
    <w:rsid w:val="00D5294D"/>
    <w:rsid w:val="00D6683C"/>
    <w:rsid w:val="00D73138"/>
    <w:rsid w:val="00D834C4"/>
    <w:rsid w:val="00DA455E"/>
    <w:rsid w:val="00DE1E59"/>
    <w:rsid w:val="00DE3555"/>
    <w:rsid w:val="00DF5483"/>
    <w:rsid w:val="00DF651A"/>
    <w:rsid w:val="00DF73FE"/>
    <w:rsid w:val="00E01BB4"/>
    <w:rsid w:val="00E21CEA"/>
    <w:rsid w:val="00E24456"/>
    <w:rsid w:val="00E44AE7"/>
    <w:rsid w:val="00E51392"/>
    <w:rsid w:val="00E5300B"/>
    <w:rsid w:val="00E5353E"/>
    <w:rsid w:val="00E55BA3"/>
    <w:rsid w:val="00E6198F"/>
    <w:rsid w:val="00E9409E"/>
    <w:rsid w:val="00E96AFB"/>
    <w:rsid w:val="00EC1986"/>
    <w:rsid w:val="00EC5735"/>
    <w:rsid w:val="00ED1141"/>
    <w:rsid w:val="00EE6F58"/>
    <w:rsid w:val="00EF2DD0"/>
    <w:rsid w:val="00EF3660"/>
    <w:rsid w:val="00EF7E06"/>
    <w:rsid w:val="00F04F9B"/>
    <w:rsid w:val="00F05D79"/>
    <w:rsid w:val="00F10A85"/>
    <w:rsid w:val="00F35AA7"/>
    <w:rsid w:val="00F36A92"/>
    <w:rsid w:val="00F51B2C"/>
    <w:rsid w:val="00F5768E"/>
    <w:rsid w:val="00F73AD0"/>
    <w:rsid w:val="00F7765D"/>
    <w:rsid w:val="00F909A2"/>
    <w:rsid w:val="00F9570D"/>
    <w:rsid w:val="00FC0B70"/>
    <w:rsid w:val="00FE4DCB"/>
    <w:rsid w:val="035937A7"/>
    <w:rsid w:val="074A3B33"/>
    <w:rsid w:val="0AB1211B"/>
    <w:rsid w:val="13022378"/>
    <w:rsid w:val="13C81FA8"/>
    <w:rsid w:val="18351C95"/>
    <w:rsid w:val="21ED13A9"/>
    <w:rsid w:val="22BB1507"/>
    <w:rsid w:val="28734684"/>
    <w:rsid w:val="28F40ABE"/>
    <w:rsid w:val="298E490D"/>
    <w:rsid w:val="29A224B5"/>
    <w:rsid w:val="2CCB1207"/>
    <w:rsid w:val="2F8F075D"/>
    <w:rsid w:val="349F4C0E"/>
    <w:rsid w:val="3CB66F99"/>
    <w:rsid w:val="3E100F36"/>
    <w:rsid w:val="3FDE0159"/>
    <w:rsid w:val="40877C73"/>
    <w:rsid w:val="47183234"/>
    <w:rsid w:val="47A17854"/>
    <w:rsid w:val="4B6760EF"/>
    <w:rsid w:val="55486565"/>
    <w:rsid w:val="5B055CDE"/>
    <w:rsid w:val="5CD821BC"/>
    <w:rsid w:val="6101496A"/>
    <w:rsid w:val="61517DD5"/>
    <w:rsid w:val="67A5382C"/>
    <w:rsid w:val="6B5E5F82"/>
    <w:rsid w:val="716A4F20"/>
    <w:rsid w:val="755366E7"/>
    <w:rsid w:val="7B866132"/>
    <w:rsid w:val="7D7FC30A"/>
    <w:rsid w:val="7F7B6EB5"/>
    <w:rsid w:val="B5DB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qFormat/>
    <w:uiPriority w:val="0"/>
    <w:pPr>
      <w:spacing w:after="120" w:line="460" w:lineRule="exact"/>
      <w:ind w:firstLine="1044" w:firstLineChars="200"/>
    </w:pPr>
    <w:rPr>
      <w:rFonts w:ascii="Times New Roman" w:hAnsi="Times New Roman" w:cs="Times New Roman"/>
      <w:kern w:val="0"/>
      <w:sz w:val="20"/>
      <w:szCs w:val="20"/>
    </w:rPr>
  </w:style>
  <w:style w:type="paragraph" w:styleId="6">
    <w:name w:val="Plain Text"/>
    <w:basedOn w:val="1"/>
    <w:link w:val="16"/>
    <w:qFormat/>
    <w:uiPriority w:val="0"/>
    <w:pPr>
      <w:spacing w:line="360" w:lineRule="auto"/>
      <w:ind w:firstLine="200" w:firstLineChars="200"/>
    </w:pPr>
    <w:rPr>
      <w:rFonts w:ascii="仿宋_GB2312" w:hAnsi="仿宋_GB2312" w:cs="Times New Roman"/>
      <w:sz w:val="24"/>
      <w:szCs w:val="20"/>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customStyle="1" w:styleId="14">
    <w:name w:val="_Style 8"/>
    <w:next w:val="1"/>
    <w:qFormat/>
    <w:uiPriority w:val="0"/>
    <w:pPr>
      <w:widowControl w:val="0"/>
      <w:spacing w:line="360" w:lineRule="auto"/>
      <w:ind w:firstLine="200" w:firstLineChars="200"/>
      <w:jc w:val="both"/>
    </w:pPr>
    <w:rPr>
      <w:rFonts w:ascii="仿宋_GB2312" w:hAnsi="仿宋_GB2312" w:eastAsia="宋体" w:cs="Times New Roman"/>
      <w:kern w:val="2"/>
      <w:sz w:val="24"/>
      <w:lang w:val="en-US" w:eastAsia="zh-CN" w:bidi="ar-SA"/>
    </w:rPr>
  </w:style>
  <w:style w:type="character" w:customStyle="1" w:styleId="15">
    <w:name w:val="批注框文本 Char"/>
    <w:basedOn w:val="11"/>
    <w:link w:val="7"/>
    <w:qFormat/>
    <w:uiPriority w:val="0"/>
    <w:rPr>
      <w:rFonts w:ascii="Calibri" w:hAnsi="Calibri" w:cs="Arial"/>
      <w:kern w:val="2"/>
      <w:sz w:val="18"/>
      <w:szCs w:val="18"/>
    </w:rPr>
  </w:style>
  <w:style w:type="character" w:customStyle="1" w:styleId="16">
    <w:name w:val="纯文本 Char"/>
    <w:link w:val="6"/>
    <w:qFormat/>
    <w:uiPriority w:val="0"/>
    <w:rPr>
      <w:rFonts w:ascii="仿宋_GB2312" w:hAnsi="仿宋_GB2312"/>
      <w:kern w:val="2"/>
      <w:sz w:val="24"/>
    </w:rPr>
  </w:style>
  <w:style w:type="character" w:customStyle="1" w:styleId="17">
    <w:name w:val="reftitle1"/>
    <w:qFormat/>
    <w:uiPriority w:val="99"/>
    <w:rPr>
      <w:b/>
      <w:bCs/>
      <w:color w:val="auto"/>
      <w:sz w:val="13"/>
      <w:szCs w:val="13"/>
      <w:u w:val="none"/>
    </w:rPr>
  </w:style>
  <w:style w:type="character" w:customStyle="1" w:styleId="18">
    <w:name w:val="正文文本 Char"/>
    <w:basedOn w:val="11"/>
    <w:link w:val="5"/>
    <w:qFormat/>
    <w:uiPriority w:val="0"/>
  </w:style>
  <w:style w:type="paragraph" w:styleId="19">
    <w:name w:val="List Paragraph"/>
    <w:basedOn w:val="1"/>
    <w:qFormat/>
    <w:uiPriority w:val="34"/>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5D04-CF09-479D-81DF-989032F02179}">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6</Pages>
  <Words>2126</Words>
  <Characters>3263</Characters>
  <Lines>25</Lines>
  <Paragraphs>7</Paragraphs>
  <TotalTime>0</TotalTime>
  <ScaleCrop>false</ScaleCrop>
  <LinksUpToDate>false</LinksUpToDate>
  <CharactersWithSpaces>3471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2020-06-03T11:10:00Z</dcterms:created>
  <dc:creator>WRGHO</dc:creator>
  <cp:lastModifiedBy>yzx124578</cp:lastModifiedBy>
  <cp:lastPrinted>2024-11-18T07:51:00Z</cp:lastPrinted>
  <dcterms:modified xsi:type="dcterms:W3CDTF">2024-11-25T07:56:13Z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F20FF5389F764FDC990583D35DE630D2_13</vt:lpwstr>
  </property>
</Properties>
</file>