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olor w:val="000000" w:themeColor="text1"/>
          <w:sz w:val="32"/>
          <w:szCs w:val="32"/>
        </w:rPr>
      </w:pPr>
      <w:r>
        <w:rPr>
          <w:rFonts w:hint="eastAsia" w:ascii="黑体" w:eastAsia="黑体"/>
          <w:color w:val="000000" w:themeColor="text1"/>
          <w:sz w:val="32"/>
          <w:szCs w:val="32"/>
          <w:lang w:eastAsia="zh-CN"/>
        </w:rPr>
        <w:t>【附件一】</w:t>
      </w:r>
      <w:r>
        <w:rPr>
          <w:rFonts w:hint="eastAsia" w:ascii="黑体" w:eastAsia="黑体"/>
          <w:color w:val="000000" w:themeColor="text1"/>
          <w:sz w:val="32"/>
          <w:szCs w:val="32"/>
        </w:rPr>
        <w:t>四川省教育厅</w:t>
      </w:r>
      <w:r>
        <w:rPr>
          <w:rFonts w:hint="eastAsia" w:ascii="黑体" w:eastAsia="黑体"/>
          <w:color w:val="000000" w:themeColor="text1"/>
          <w:sz w:val="32"/>
          <w:szCs w:val="32"/>
          <w:lang w:eastAsia="zh-CN"/>
        </w:rPr>
        <w:t>科研</w:t>
      </w:r>
      <w:r>
        <w:rPr>
          <w:rFonts w:hint="eastAsia" w:ascii="黑体" w:eastAsia="黑体"/>
          <w:color w:val="000000" w:themeColor="text1"/>
          <w:sz w:val="32"/>
          <w:szCs w:val="32"/>
        </w:rPr>
        <w:t>项目结题一览表</w:t>
      </w:r>
    </w:p>
    <w:tbl>
      <w:tblPr>
        <w:tblStyle w:val="5"/>
        <w:tblW w:w="13849" w:type="dxa"/>
        <w:tblInd w:w="93" w:type="dxa"/>
        <w:tblLayout w:type="fixed"/>
        <w:tblCellMar>
          <w:top w:w="15" w:type="dxa"/>
          <w:left w:w="108" w:type="dxa"/>
          <w:bottom w:w="15" w:type="dxa"/>
          <w:right w:w="108" w:type="dxa"/>
        </w:tblCellMar>
      </w:tblPr>
      <w:tblGrid>
        <w:gridCol w:w="844"/>
        <w:gridCol w:w="1410"/>
        <w:gridCol w:w="5325"/>
        <w:gridCol w:w="2040"/>
        <w:gridCol w:w="2475"/>
        <w:gridCol w:w="1755"/>
      </w:tblGrid>
      <w:tr>
        <w:tblPrEx>
          <w:tblLayout w:type="fixed"/>
          <w:tblCellMar>
            <w:top w:w="15" w:type="dxa"/>
            <w:left w:w="108" w:type="dxa"/>
            <w:bottom w:w="15" w:type="dxa"/>
            <w:right w:w="108" w:type="dxa"/>
          </w:tblCellMar>
        </w:tblPrEx>
        <w:trPr>
          <w:trHeight w:val="624" w:hRule="atLeast"/>
        </w:trPr>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序号</w:t>
            </w:r>
          </w:p>
        </w:tc>
        <w:tc>
          <w:tcPr>
            <w:tcW w:w="14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项目负责人</w:t>
            </w:r>
          </w:p>
        </w:tc>
        <w:tc>
          <w:tcPr>
            <w:tcW w:w="53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项目名称</w:t>
            </w:r>
          </w:p>
        </w:tc>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项目类别</w:t>
            </w:r>
          </w:p>
        </w:tc>
        <w:tc>
          <w:tcPr>
            <w:tcW w:w="24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文号</w:t>
            </w:r>
          </w:p>
        </w:tc>
        <w:tc>
          <w:tcPr>
            <w:tcW w:w="17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项目编号</w:t>
            </w:r>
          </w:p>
        </w:tc>
      </w:tr>
      <w:tr>
        <w:tblPrEx>
          <w:tblLayout w:type="fixed"/>
          <w:tblCellMar>
            <w:top w:w="15" w:type="dxa"/>
            <w:left w:w="108" w:type="dxa"/>
            <w:bottom w:w="15" w:type="dxa"/>
            <w:right w:w="108" w:type="dxa"/>
          </w:tblCellMar>
        </w:tblPrEx>
        <w:trPr>
          <w:trHeight w:val="624" w:hRule="atLeast"/>
        </w:trPr>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c>
          <w:tcPr>
            <w:tcW w:w="53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r>
      <w:tr>
        <w:tblPrEx>
          <w:tblLayout w:type="fixed"/>
          <w:tblCellMar>
            <w:top w:w="15" w:type="dxa"/>
            <w:left w:w="108" w:type="dxa"/>
            <w:bottom w:w="15" w:type="dxa"/>
            <w:right w:w="108" w:type="dxa"/>
          </w:tblCellMar>
        </w:tblPrEx>
        <w:trPr>
          <w:trHeight w:val="312" w:hRule="atLeast"/>
        </w:trPr>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c>
          <w:tcPr>
            <w:tcW w:w="53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p>
        </w:tc>
      </w:tr>
      <w:tr>
        <w:tblPrEx>
          <w:tblLayout w:type="fixed"/>
          <w:tblCellMar>
            <w:top w:w="15" w:type="dxa"/>
            <w:left w:w="108" w:type="dxa"/>
            <w:bottom w:w="15" w:type="dxa"/>
            <w:right w:w="108" w:type="dxa"/>
          </w:tblCellMar>
        </w:tblPrEx>
        <w:trPr>
          <w:trHeight w:val="635"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敬保迁</w:t>
            </w:r>
          </w:p>
        </w:tc>
        <w:tc>
          <w:tcPr>
            <w:tcW w:w="5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食道癌特异表达基因的克隆</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重点项目</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川教[2006]314号</w:t>
            </w:r>
          </w:p>
        </w:tc>
        <w:tc>
          <w:tcPr>
            <w:tcW w:w="17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2006A059</w:t>
            </w:r>
          </w:p>
        </w:tc>
      </w:tr>
      <w:tr>
        <w:tblPrEx>
          <w:tblLayout w:type="fixed"/>
          <w:tblCellMar>
            <w:top w:w="15" w:type="dxa"/>
            <w:left w:w="108" w:type="dxa"/>
            <w:bottom w:w="15" w:type="dxa"/>
            <w:right w:w="108" w:type="dxa"/>
          </w:tblCellMar>
        </w:tblPrEx>
        <w:trPr>
          <w:trHeight w:val="65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刘尚清</w:t>
            </w:r>
          </w:p>
        </w:tc>
        <w:tc>
          <w:tcPr>
            <w:tcW w:w="5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Ⅱ型糖尿病肾病能量代谢相关蛋白质改变研究</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重点项目</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川教[2006]314号</w:t>
            </w:r>
          </w:p>
        </w:tc>
        <w:tc>
          <w:tcPr>
            <w:tcW w:w="17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2006A060</w:t>
            </w:r>
          </w:p>
        </w:tc>
      </w:tr>
      <w:tr>
        <w:tblPrEx>
          <w:tblLayout w:type="fixed"/>
          <w:tblCellMar>
            <w:top w:w="15" w:type="dxa"/>
            <w:left w:w="108" w:type="dxa"/>
            <w:bottom w:w="15" w:type="dxa"/>
            <w:right w:w="108" w:type="dxa"/>
          </w:tblCellMar>
        </w:tblPrEx>
        <w:trPr>
          <w:trHeight w:val="635"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唐铁龙</w:t>
            </w:r>
          </w:p>
        </w:tc>
        <w:tc>
          <w:tcPr>
            <w:tcW w:w="5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尿道下裂患者Hoxa13基因突变的研究</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青年项目</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川教[2006]314号</w:t>
            </w:r>
          </w:p>
        </w:tc>
        <w:tc>
          <w:tcPr>
            <w:tcW w:w="17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2006B032</w:t>
            </w:r>
          </w:p>
        </w:tc>
      </w:tr>
      <w:tr>
        <w:tblPrEx>
          <w:tblLayout w:type="fixed"/>
          <w:tblCellMar>
            <w:top w:w="15" w:type="dxa"/>
            <w:left w:w="108" w:type="dxa"/>
            <w:bottom w:w="15" w:type="dxa"/>
            <w:right w:w="108" w:type="dxa"/>
          </w:tblCellMar>
        </w:tblPrEx>
        <w:trPr>
          <w:trHeight w:val="59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杜</w:t>
            </w:r>
            <w:r>
              <w:rPr>
                <w:rFonts w:hint="eastAsia" w:asciiTheme="minorEastAsia" w:hAnsiTheme="minorEastAsia" w:cstheme="minorEastAsia"/>
                <w:color w:val="000000" w:themeColor="text1"/>
                <w:kern w:val="0"/>
                <w:sz w:val="21"/>
                <w:szCs w:val="21"/>
                <w:lang w:val="en-US" w:eastAsia="zh-CN"/>
              </w:rPr>
              <w:t xml:space="preserve">  </w:t>
            </w:r>
            <w:r>
              <w:rPr>
                <w:rFonts w:hint="eastAsia" w:asciiTheme="minorEastAsia" w:hAnsiTheme="minorEastAsia" w:eastAsiaTheme="minorEastAsia" w:cstheme="minorEastAsia"/>
                <w:color w:val="000000" w:themeColor="text1"/>
                <w:kern w:val="0"/>
                <w:sz w:val="21"/>
                <w:szCs w:val="21"/>
              </w:rPr>
              <w:t>江</w:t>
            </w:r>
          </w:p>
        </w:tc>
        <w:tc>
          <w:tcPr>
            <w:tcW w:w="5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结肠癌术中区域化疗血液、腹腔液和组织5-Fu浓度测定及临床病理观察</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lang w:eastAsia="zh-CN"/>
              </w:rPr>
            </w:pPr>
            <w:r>
              <w:rPr>
                <w:rFonts w:hint="eastAsia" w:asciiTheme="minorEastAsia" w:hAnsiTheme="minorEastAsia" w:cstheme="minorEastAsia"/>
                <w:color w:val="000000" w:themeColor="text1"/>
                <w:kern w:val="0"/>
                <w:sz w:val="21"/>
                <w:szCs w:val="21"/>
                <w:lang w:eastAsia="zh-CN"/>
              </w:rPr>
              <w:t>一般项目</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川教[2006]314号</w:t>
            </w:r>
          </w:p>
        </w:tc>
        <w:tc>
          <w:tcPr>
            <w:tcW w:w="17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2006C013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谢</w:t>
            </w:r>
            <w:r>
              <w:rPr>
                <w:rFonts w:hint="eastAsia" w:asciiTheme="minorEastAsia" w:hAnsiTheme="minorEastAsia" w:cstheme="minorEastAsia"/>
                <w:color w:val="000000" w:themeColor="text1"/>
                <w:kern w:val="0"/>
                <w:sz w:val="21"/>
                <w:szCs w:val="21"/>
                <w:lang w:val="en-US" w:eastAsia="zh-CN"/>
              </w:rPr>
              <w:t xml:space="preserve">  </w:t>
            </w:r>
            <w:r>
              <w:rPr>
                <w:rFonts w:hint="eastAsia" w:asciiTheme="minorEastAsia" w:hAnsiTheme="minorEastAsia" w:eastAsiaTheme="minorEastAsia" w:cstheme="minorEastAsia"/>
                <w:color w:val="000000" w:themeColor="text1"/>
                <w:kern w:val="0"/>
                <w:sz w:val="21"/>
                <w:szCs w:val="21"/>
              </w:rPr>
              <w:t>英</w:t>
            </w:r>
          </w:p>
        </w:tc>
        <w:tc>
          <w:tcPr>
            <w:tcW w:w="5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人窦房结动脉狭窄与猝死及间质增多的关系</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lang w:eastAsia="zh-CN"/>
              </w:rPr>
            </w:pPr>
            <w:r>
              <w:rPr>
                <w:rFonts w:hint="eastAsia" w:asciiTheme="minorEastAsia" w:hAnsiTheme="minorEastAsia" w:cstheme="minorEastAsia"/>
                <w:color w:val="000000" w:themeColor="text1"/>
                <w:kern w:val="0"/>
                <w:sz w:val="21"/>
                <w:szCs w:val="21"/>
                <w:lang w:eastAsia="zh-CN"/>
              </w:rPr>
              <w:t>一般项目</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川教[2006]314号</w:t>
            </w:r>
          </w:p>
        </w:tc>
        <w:tc>
          <w:tcPr>
            <w:tcW w:w="17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2006C016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李禄峰</w:t>
            </w:r>
          </w:p>
        </w:tc>
        <w:tc>
          <w:tcPr>
            <w:tcW w:w="532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宇文虚中与宋金关系研究</w:t>
            </w:r>
          </w:p>
        </w:tc>
        <w:tc>
          <w:tcPr>
            <w:tcW w:w="20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青年基金项目</w:t>
            </w:r>
          </w:p>
        </w:tc>
        <w:tc>
          <w:tcPr>
            <w:tcW w:w="247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川教函[2007]604号</w:t>
            </w:r>
          </w:p>
        </w:tc>
        <w:tc>
          <w:tcPr>
            <w:tcW w:w="175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07SB060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文</w:t>
            </w:r>
            <w:r>
              <w:rPr>
                <w:rFonts w:hint="eastAsia" w:asciiTheme="minorEastAsia" w:hAnsiTheme="minorEastAsia" w:cstheme="minorEastAsia"/>
                <w:color w:val="000000" w:themeColor="text1"/>
                <w:kern w:val="0"/>
                <w:sz w:val="21"/>
                <w:szCs w:val="21"/>
                <w:lang w:val="en-US" w:eastAsia="zh-CN"/>
              </w:rPr>
              <w:t xml:space="preserve">  </w:t>
            </w:r>
            <w:r>
              <w:rPr>
                <w:rFonts w:hint="eastAsia" w:asciiTheme="minorEastAsia" w:hAnsiTheme="minorEastAsia" w:eastAsiaTheme="minorEastAsia" w:cstheme="minorEastAsia"/>
                <w:color w:val="000000" w:themeColor="text1"/>
                <w:kern w:val="0"/>
                <w:sz w:val="21"/>
                <w:szCs w:val="21"/>
              </w:rPr>
              <w:t>彬</w:t>
            </w:r>
          </w:p>
        </w:tc>
        <w:tc>
          <w:tcPr>
            <w:tcW w:w="532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WISP-1基因在结肠癌发生中的作用</w:t>
            </w:r>
          </w:p>
        </w:tc>
        <w:tc>
          <w:tcPr>
            <w:tcW w:w="20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重点项目</w:t>
            </w:r>
          </w:p>
        </w:tc>
        <w:tc>
          <w:tcPr>
            <w:tcW w:w="247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川教函[2007]604号</w:t>
            </w:r>
          </w:p>
        </w:tc>
        <w:tc>
          <w:tcPr>
            <w:tcW w:w="175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07ZA032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杨慧敏</w:t>
            </w:r>
          </w:p>
        </w:tc>
        <w:tc>
          <w:tcPr>
            <w:tcW w:w="532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抑制VEGF促新生血管生成作用对多发性硬化的保护</w:t>
            </w:r>
          </w:p>
        </w:tc>
        <w:tc>
          <w:tcPr>
            <w:tcW w:w="20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青年项目</w:t>
            </w:r>
          </w:p>
        </w:tc>
        <w:tc>
          <w:tcPr>
            <w:tcW w:w="247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川教函[2007]604号</w:t>
            </w:r>
          </w:p>
        </w:tc>
        <w:tc>
          <w:tcPr>
            <w:tcW w:w="175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07ZB026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曾</w:t>
            </w:r>
            <w:r>
              <w:rPr>
                <w:rFonts w:hint="eastAsia" w:asciiTheme="minorEastAsia" w:hAnsiTheme="minorEastAsia" w:cstheme="minorEastAsia"/>
                <w:color w:val="000000" w:themeColor="text1"/>
                <w:kern w:val="0"/>
                <w:sz w:val="21"/>
                <w:szCs w:val="21"/>
                <w:lang w:val="en-US" w:eastAsia="zh-CN"/>
              </w:rPr>
              <w:t xml:space="preserve">  </w:t>
            </w:r>
            <w:r>
              <w:rPr>
                <w:rFonts w:hint="eastAsia" w:asciiTheme="minorEastAsia" w:hAnsiTheme="minorEastAsia" w:eastAsiaTheme="minorEastAsia" w:cstheme="minorEastAsia"/>
                <w:color w:val="000000" w:themeColor="text1"/>
                <w:kern w:val="0"/>
                <w:sz w:val="21"/>
                <w:szCs w:val="21"/>
              </w:rPr>
              <w:t>艳</w:t>
            </w:r>
          </w:p>
        </w:tc>
        <w:tc>
          <w:tcPr>
            <w:tcW w:w="532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衍生化的HS-SPME技术在GC-MS生物检材毒品检测中的应用研究</w:t>
            </w:r>
          </w:p>
        </w:tc>
        <w:tc>
          <w:tcPr>
            <w:tcW w:w="20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青年项目</w:t>
            </w:r>
          </w:p>
        </w:tc>
        <w:tc>
          <w:tcPr>
            <w:tcW w:w="247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川教函[2007]604号</w:t>
            </w:r>
          </w:p>
        </w:tc>
        <w:tc>
          <w:tcPr>
            <w:tcW w:w="175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07ZB028</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张正中</w:t>
            </w:r>
          </w:p>
        </w:tc>
        <w:tc>
          <w:tcPr>
            <w:tcW w:w="532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四川省单基因遗传性皮肤病的临床与遗传学研究</w:t>
            </w:r>
          </w:p>
        </w:tc>
        <w:tc>
          <w:tcPr>
            <w:tcW w:w="204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lang w:eastAsia="zh-CN"/>
              </w:rPr>
            </w:pPr>
            <w:r>
              <w:rPr>
                <w:rFonts w:hint="eastAsia" w:asciiTheme="minorEastAsia" w:hAnsiTheme="minorEastAsia" w:cstheme="minorEastAsia"/>
                <w:color w:val="000000" w:themeColor="text1"/>
                <w:kern w:val="0"/>
                <w:sz w:val="21"/>
                <w:szCs w:val="21"/>
                <w:lang w:eastAsia="zh-CN"/>
              </w:rPr>
              <w:t>一般</w:t>
            </w:r>
          </w:p>
        </w:tc>
        <w:tc>
          <w:tcPr>
            <w:tcW w:w="247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川教函[2007]604号</w:t>
            </w:r>
          </w:p>
        </w:tc>
        <w:tc>
          <w:tcPr>
            <w:tcW w:w="175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07ZC020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周洪贵</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女大学生痛经的临床干预</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08ZA110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郑</w:t>
            </w:r>
            <w:r>
              <w:rPr>
                <w:rFonts w:hint="eastAsia" w:asciiTheme="minorEastAsia" w:hAnsiTheme="minorEastAsia" w:eastAsiaTheme="minorEastAsia" w:cstheme="minorEastAsia"/>
                <w:color w:val="000000" w:themeColor="text1"/>
                <w:kern w:val="0"/>
                <w:sz w:val="21"/>
                <w:szCs w:val="21"/>
                <w:lang w:val="en-US" w:eastAsia="zh-CN"/>
              </w:rPr>
              <w:t xml:space="preserve">  </w:t>
            </w:r>
            <w:r>
              <w:rPr>
                <w:rFonts w:hint="eastAsia" w:asciiTheme="minorEastAsia" w:hAnsiTheme="minorEastAsia" w:eastAsiaTheme="minorEastAsia" w:cstheme="minorEastAsia"/>
                <w:color w:val="000000" w:themeColor="text1"/>
                <w:kern w:val="0"/>
                <w:sz w:val="21"/>
                <w:szCs w:val="21"/>
              </w:rPr>
              <w:t>倩</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1，6二磷酸果糖对2型糖尿病大鼠胰岛细胞功能的保护作用与氧化应激、内质网应激和JNK通路的关系</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重点</w:t>
            </w:r>
          </w:p>
        </w:tc>
        <w:tc>
          <w:tcPr>
            <w:tcW w:w="2475"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p>
        </w:tc>
        <w:tc>
          <w:tcPr>
            <w:tcW w:w="1755"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08ZA165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李</w:t>
            </w:r>
            <w:r>
              <w:rPr>
                <w:rFonts w:hint="eastAsia" w:asciiTheme="minorEastAsia" w:hAnsiTheme="minorEastAsia" w:eastAsiaTheme="minorEastAsia" w:cstheme="minorEastAsia"/>
                <w:color w:val="000000" w:themeColor="text1"/>
                <w:kern w:val="0"/>
                <w:sz w:val="21"/>
                <w:szCs w:val="21"/>
                <w:lang w:val="en-US" w:eastAsia="zh-CN"/>
              </w:rPr>
              <w:t xml:space="preserve">  </w:t>
            </w:r>
            <w:r>
              <w:rPr>
                <w:rFonts w:hint="eastAsia" w:asciiTheme="minorEastAsia" w:hAnsiTheme="minorEastAsia" w:eastAsiaTheme="minorEastAsia" w:cstheme="minorEastAsia"/>
                <w:color w:val="000000" w:themeColor="text1"/>
                <w:kern w:val="0"/>
                <w:sz w:val="21"/>
                <w:szCs w:val="21"/>
              </w:rPr>
              <w:t>敏</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外剥内扎并梯形皮瓣游离术预防女性前位痔术后水肿临床研究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青年</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08zb074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谭</w:t>
            </w:r>
            <w:r>
              <w:rPr>
                <w:rFonts w:hint="eastAsia" w:asciiTheme="minorEastAsia" w:hAnsiTheme="minorEastAsia" w:cstheme="minorEastAsia"/>
                <w:color w:val="000000" w:themeColor="text1"/>
                <w:kern w:val="0"/>
                <w:sz w:val="21"/>
                <w:szCs w:val="21"/>
                <w:lang w:val="en-US" w:eastAsia="zh-CN"/>
              </w:rPr>
              <w:t xml:space="preserve">  </w:t>
            </w:r>
            <w:r>
              <w:rPr>
                <w:rFonts w:hint="eastAsia" w:asciiTheme="minorEastAsia" w:hAnsiTheme="minorEastAsia" w:eastAsiaTheme="minorEastAsia" w:cstheme="minorEastAsia"/>
                <w:color w:val="000000" w:themeColor="text1"/>
                <w:kern w:val="0"/>
                <w:sz w:val="21"/>
                <w:szCs w:val="21"/>
              </w:rPr>
              <w:t>竞</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慢性淋巴细胞白血病的氟达拉滨相关自身免疫性溶血的机制研究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青年</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08zb093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李素平</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全反式维甲酸、地塞米松、曲古抑素诱导分化型甲状腺癌细胞凋亡的实验研究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青年</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08zb094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杨洪斌</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人α防御1抗肿瘤作用实验研究以及人α防御素喉癌组织中的表达及临床意义</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科研</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08zc062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许玉霞</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团队学习在儿科临床实习中的应用研究</w:t>
            </w:r>
          </w:p>
        </w:tc>
        <w:tc>
          <w:tcPr>
            <w:tcW w:w="204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08SA127</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杜</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军</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认知语言学视角中的非英语专业学生词汇学习能力的介入性研究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青年项目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川教函【2009】749号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09SB022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代成书</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贫困大学生抑郁与自我概念的相关研究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青年项目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川教函【2010】31号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09SB136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李</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平</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四川省农村妇女参政、议政研究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川教函【2009】749号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09SA013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余</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娴</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验证VP22介导p16在肿瘤细胞间的转运以及p16/VP22融合蛋白抗肿瘤作用的研究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川教函【2009】749号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09ZA039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王</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琼</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MK、PTEN及HPV在食管癌发病机制中的探讨</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川教函【2010】31号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09ZA164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cstheme="minorEastAsia"/>
                <w:i w:val="0"/>
                <w:color w:val="000000" w:themeColor="text1"/>
                <w:kern w:val="0"/>
                <w:sz w:val="21"/>
                <w:szCs w:val="21"/>
                <w:u w:val="none"/>
                <w:lang w:val="en-US" w:eastAsia="zh-CN" w:bidi="ar"/>
              </w:rPr>
              <w:t>王含彦</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cstheme="minorEastAsia"/>
                <w:i w:val="0"/>
                <w:color w:val="000000" w:themeColor="text1"/>
                <w:kern w:val="0"/>
                <w:sz w:val="21"/>
                <w:szCs w:val="21"/>
                <w:u w:val="none"/>
                <w:lang w:val="en-US" w:eastAsia="zh-CN" w:bidi="ar"/>
              </w:rPr>
              <w:t>抗抑郁药氟西汀对海马区BDNF基因表达的调节及其分子机制研究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川教函【2010】31号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09ZA</w:t>
            </w:r>
            <w:r>
              <w:rPr>
                <w:rFonts w:hint="eastAsia" w:asciiTheme="minorEastAsia" w:hAnsiTheme="minorEastAsia" w:cstheme="minorEastAsia"/>
                <w:i w:val="0"/>
                <w:color w:val="000000" w:themeColor="text1"/>
                <w:kern w:val="0"/>
                <w:sz w:val="21"/>
                <w:szCs w:val="21"/>
                <w:u w:val="none"/>
                <w:lang w:val="en-US" w:eastAsia="zh-CN" w:bidi="ar"/>
              </w:rPr>
              <w:t>040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唐晓晏</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皮质发育障碍模型鼠海马区Fas表达与神经元凋亡的关系及氟桂利嗪的干预作用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青年项目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川教函【2009】749号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09ZB023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买文丽</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大豆异黄酮对去卵巢大鼠学习记忆及海马LTP信号级联分子的影响</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青年项目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川教函【2010】31号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09ZB121</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兰海涛</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归芪合剂对2型糖尿病大鼠周围神经病变的保护作用及机制研究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青年项目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川教函【2010】31号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09ZB122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文晓红</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长程高脂饮食对大鼠胰岛B细胞功能影响的实验研究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川教函【2009】749号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09ZC044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米方林</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多层CT用于对比成人拔牙矫治与非拔牙矫治的下前牙牙槽骨吸收的研究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川教函【2009】749号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09ZC045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牟韵竹</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黑斑息肉综合征的STK11基因突变研究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川教函【2009】749号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09ZC047</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邓世山</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Annexin A2泛素化调节异常在乳腺癌细胞侵润和/或转移中的重要作用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10ZA075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曹小平</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有机磷杀虫剂致SD大鼠急性肺损伤时NF-kB、TNF-a表达的实验研究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10ZA076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刘</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云</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Pre-MicroRNAs基因多态性与脑梗死遗传易感性</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10ZA079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赵圆宇</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丰富生存环境对幼年大脑胼胝体有髓神经纤维发育作用的研究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青年</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10ZB068</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邓显忠</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高糖血症致大鼠睾丸SERTOLI细胞损伤及其机制的研究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科研</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10ZC045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石</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刚</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苦参碱对于肝癌细胞PI3K/AKT信号通路影响的研究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科研</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10ZC046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杨颖(药理）</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AS机制中PPAR-δ与VCAM-1的相关性研究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科研</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10ZC047</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潘尔春</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马克思主义人学中国化理论与实践研究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10SA080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龙</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 xml:space="preserve"> 霖</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高等护理教育加速发展时期我国护理队伍分工模式的探索</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10SA081</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唐</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洁</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基于组织和个体双向视角的高校辅导员职业生涯管理与工作满意度关系研究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青年</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10SA083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张</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旭</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四川省青少年亲密关系中暴力问题及相关影响因素的调查研究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青年</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10SA084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袁昌万</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医学生大学英语自主学习实证研究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青年</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川教函【2010】597号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10SA085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杨  颖</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基于NAT-PT技术的IPV4/IPV6校园网研究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川教函【2010】621号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10ZC102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彭</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彬</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脊髓损伤对兔精子发生与精子输送的影响</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川教函【2010】621号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10ZA169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刘</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 xml:space="preserve"> 红</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戊巴比妥钠在糖尿病模型复制中的应用及评价研究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川教函【2010】621号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10ZA169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何建川</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胰腺癌组织的傅里叶变换红外光谱分析</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青年</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川教函【2010】621号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10ZB132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林菁艳</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糖尿病性神经痛大鼠脊髓背角突触可塑性的钙依赖信号转导通路机制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川教函【2011】538号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11ZA192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王朝莉</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RXFP2与胃癌发生发展的相关性研究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川教函【2011】538号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11ZB158</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刘</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华</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没食子儿茶素没食子酸酯（EGCG）的降血脂效应及其机制的研究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川教函【2011】538号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11ZB159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赖思渝</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多模态医学图像融合技术的研究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川教函【2011】538号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11ZB161</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刘永芳</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多重耐药鲍曼不动杆菌的分子流行病学调查及碳青霉烯酶的检测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川教函【2011】538号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11ZB164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李儒林</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大学生心理健康水平与学校组织气氛的相关研究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川教函【2011】538号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11SA143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胡</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澜</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改善大、小凉山农村少数民族居民生存现状的对策分析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川教函【2011】538号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11SB144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陈心容</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农村留守儿童营养健康状况及其看护人营养KAP调查</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川教函【2011】538号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11SB145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赵梓雯</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“90后”大学生思想政治教育工作的特点及创新模式研究</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川教函【2011】538号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11SB146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罗玉军</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医疗服务质量综合评价模型研究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川教函【2011】653号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11ZA214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杜丽娟</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PGP9.5、AQP3在慢传输型便秘大鼠模型近端结肠粘膜的表达研究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川教函【2011】653号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11ZB184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朱万春</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粘接系统和垫底材料对树脂充填后微渗漏影响的比较</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川教函【2011】653号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11ZB188</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商</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义</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人参皂甙Rg1对体外人胃癌细胞增殖的抑制作用及机制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川教函【2011】653号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11ZB270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潘池梅</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初产妇婴幼儿喂养KAP调查及其住院期间干预效果评价</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川教函【2011】653号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11SA155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李小华</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基于战略导向的四川省属高校全面预算管理绩效评价体系构建</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川教函【2011】653号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11SB169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宋  湛</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川东北地区青少年健康危险行为与父母教养方式关系研究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面上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川教函【2011】653号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11SB170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周京国</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SLC2A9基因的单核苷酸多态性与我国川东北地区汉族人群原发性痛风发病及血尿酸水平的相关性研究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12ZA046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冯</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俊</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反义ATM对喉鳞癌放射敏感性的实验研究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12ZA054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陈莲惠</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共振瑞利散射技术在大环内酯类药物分析中的研究应用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12ZA056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刘正龙</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基于BP神经网络的预测与评估模型及应用研究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12ZB040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朱晓燕</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人型支原体与阴道毛滴虫毒力的探讨</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12ZB043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宋桂芹</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PDGF基因的表达与胃癌侵袭、转移的关系及其机制研究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12ZB046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陈晓文</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受光阑限制的部分相干光在大气湍流中的传输特性</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12ZB048</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张</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玲</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川陕医药卫生史研究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12SA021</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高晓凤</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四川流动人口结核病患者社会支持与生活质量的关系研究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12SA022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官</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计</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慢性肾脏疾病自我管理健康教育模式的构建</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12SB028</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付智茜</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对翻译家杨宪益、戴乃迭夫妇译人精神之研究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12SB030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夏</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丹</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高校建设项目工程造价的管理研究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12SB031</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任</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毅</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电商企业B2C模式的营销现状及发展趋势研究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川教函【2012】88号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12SB033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宋永砚</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血脂及载脂蛋白比值在冠心病发生及病变程度中的意义研究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12ZA232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李生茂</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中药药效物质基础及质量标准化研究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12ZB216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何</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朗</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小鼠Lewis肺癌模型rh-Endostatin抗血管作用时相的机制探讨</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12ZB219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 xml:space="preserve">陈 </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路</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凝血酶肽（TP508）结合人工颗粒骨治疗大段骨缺损的实验研究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12ZB223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吴汉奇</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居室装修后室内空气中甲醛和苯污染的调查及其联合毒性实验研究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12ZB224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章丽霞</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TGF-b/ERK信号转导通路在放化疗前后宫颈癌Hela细胞中的作用机制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12ZB225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张树山</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社区脑卒中患者的健康相关生命质量与卒中后焦虑抑郁现况研究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12ZB229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何</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风</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电话随访对学龄前期阑尾炎出院患儿遵医行为的影响研究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12SB226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张玉珍</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“9+3”中职护生心理健康的影响因素及相互关系研究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12SB227</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cstheme="minorEastAsia"/>
                <w:i w:val="0"/>
                <w:color w:val="000000" w:themeColor="text1"/>
                <w:kern w:val="0"/>
                <w:sz w:val="21"/>
                <w:szCs w:val="21"/>
                <w:u w:val="none"/>
                <w:lang w:val="en-US" w:eastAsia="zh-CN" w:bidi="ar"/>
              </w:rPr>
              <w:t>李孟秦</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cstheme="minorEastAsia"/>
                <w:i w:val="0"/>
                <w:color w:val="000000" w:themeColor="text1"/>
                <w:kern w:val="0"/>
                <w:sz w:val="21"/>
                <w:szCs w:val="21"/>
                <w:u w:val="none"/>
                <w:lang w:val="en-US" w:eastAsia="zh-CN" w:bidi="ar"/>
              </w:rPr>
              <w:t>限制性液体复苏在创伤失血性休克患者手术前治疗中的应用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12ZB22</w:t>
            </w:r>
            <w:r>
              <w:rPr>
                <w:rFonts w:hint="eastAsia" w:asciiTheme="minorEastAsia" w:hAnsiTheme="minorEastAsia" w:cstheme="minorEastAsia"/>
                <w:i w:val="0"/>
                <w:color w:val="000000" w:themeColor="text1"/>
                <w:kern w:val="0"/>
                <w:sz w:val="21"/>
                <w:szCs w:val="21"/>
                <w:u w:val="none"/>
                <w:lang w:val="en-US" w:eastAsia="zh-CN" w:bidi="ar"/>
              </w:rPr>
              <w:t>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田小兵</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受孕风险因素与不良怀孕结局的关联性研究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川教函【2012】326号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12ZA048</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陈绍平</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可溶性髓样细胞触发性受体-1在评估慢性阻塞性肺疾病发展中的意义</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13ZA0216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黄丹丹</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结核分枝杆菌分泌蛋白EspB诱导小鼠免疫应答的实验研究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13ZA0217</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谭</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竞</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乙肝病毒再激活动物模型的建立</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13ZA0223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王建军</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S100B蛋白作为血脑屏障通透性标记物在过敏性紫癜脑损伤临床中的应用性研究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13ZA0224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张广军</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miR-22在结直肠癌细胞上皮间质转化中的作用及相关机制研究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13ZA0230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周</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萍</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HDACs在基因转录水平促进乳腺癌发生的机制研究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13ZB0238</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陈</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竹</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制备可修复关节软骨缺损的携载GDF-5质粒的三元酸度敏感缓释系统的实验研究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13ZB0235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刘</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康</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适用于椎间盘退行性变临床中期的新型可注射组织工程髓核构建及生物学功能研究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13ZB0236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李</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丽</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shRNA-ATM对鼻咽癌放射治疗敏感性影响的体外实验研究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13ZB0241</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谢杰斌</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STZ对正常大鼠胃旁路术后血糖水平影响的实验研究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13ZB0243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汤明玥</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大气湍流对受光阑限制的厄米高斯光速传输特性的影响</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13ZB0244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何文飞</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中药干预化疗损伤动物生殖功能实验研究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13ZB0245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罗杰伟</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设计合成1-苯基-3-苯并冠醚基吡唑啉类荧光分子化合物用于检测低钾血症者血清钾浓度的基础研究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13ZB0096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寇红艳</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“9+3”藏区护生临床带教中融入人文关怀教育的实践研究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13SA088</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胡言会</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李大钊文艺思想研究：兼论早期中国化马克思主义文论与启蒙现代性的关系</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13SA089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李</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莉</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思维导图在社区类风湿关节炎患者健康教育中的应用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13SB0115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魏雪梅</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临床护理教师自我管理量表的开发及应用研究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13SB0116</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陈靖怡</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生态批评的中国本土化研究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13SB0117</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余进洪</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新型多功能纳米级超声造影剂的研发</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13ZB0249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陈建平</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地方院校英语专业课程优化设计研究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13SB0119</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康</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宇</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高校廉政风险防控管理机制建立及完善研究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13SB0122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蒲秋菊</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张爱玲文学作品中的隐喻—-隐喻的范畴化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13SB0121</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何丽芬</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生态取向下英语教师专业化自主发展</w:t>
            </w:r>
            <w:r>
              <w:rPr>
                <w:rFonts w:hint="eastAsia" w:asciiTheme="minorEastAsia" w:hAnsiTheme="minorEastAsia" w:eastAsiaTheme="minorEastAsia" w:cstheme="minorEastAsia"/>
                <w:i w:val="0"/>
                <w:color w:val="000000" w:themeColor="text1"/>
                <w:kern w:val="0"/>
                <w:sz w:val="21"/>
                <w:szCs w:val="21"/>
                <w:u w:val="none"/>
                <w:lang w:val="en-US" w:eastAsia="zh-CN" w:bidi="ar"/>
              </w:rPr>
              <w:softHyphen/>
            </w:r>
            <w:r>
              <w:rPr>
                <w:rFonts w:hint="eastAsia" w:asciiTheme="minorEastAsia" w:hAnsiTheme="minorEastAsia" w:eastAsiaTheme="minorEastAsia" w:cstheme="minorEastAsia"/>
                <w:i w:val="0"/>
                <w:color w:val="000000" w:themeColor="text1"/>
                <w:kern w:val="0"/>
                <w:sz w:val="21"/>
                <w:szCs w:val="21"/>
                <w:u w:val="none"/>
                <w:lang w:val="en-US" w:eastAsia="zh-CN" w:bidi="ar"/>
              </w:rPr>
              <w:t>途径——构建生态共生共同体</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13SB0120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申跃武</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szCs w:val="21"/>
              </w:rPr>
              <w:t>Rapamycin</w:t>
            </w:r>
            <w:r>
              <w:rPr>
                <w:rFonts w:hAnsi="宋体"/>
                <w:szCs w:val="21"/>
              </w:rPr>
              <w:t>联合</w:t>
            </w:r>
            <w:r>
              <w:rPr>
                <w:szCs w:val="21"/>
              </w:rPr>
              <w:t>SNX-2112</w:t>
            </w:r>
            <w:r>
              <w:rPr>
                <w:rFonts w:hAnsi="宋体"/>
                <w:szCs w:val="21"/>
              </w:rPr>
              <w:t>抗多发骨髓瘤作用研究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13</w:t>
            </w:r>
            <w:r>
              <w:rPr>
                <w:rFonts w:hint="eastAsia" w:asciiTheme="minorEastAsia" w:hAnsiTheme="minorEastAsia" w:cstheme="minorEastAsia"/>
                <w:i w:val="0"/>
                <w:color w:val="000000" w:themeColor="text1"/>
                <w:kern w:val="0"/>
                <w:sz w:val="21"/>
                <w:szCs w:val="21"/>
                <w:u w:val="none"/>
                <w:lang w:val="en-US" w:eastAsia="zh-CN" w:bidi="ar"/>
              </w:rPr>
              <w:t>Z</w:t>
            </w:r>
            <w:r>
              <w:rPr>
                <w:rFonts w:hint="eastAsia" w:asciiTheme="minorEastAsia" w:hAnsiTheme="minorEastAsia" w:eastAsiaTheme="minorEastAsia" w:cstheme="minorEastAsia"/>
                <w:i w:val="0"/>
                <w:color w:val="000000" w:themeColor="text1"/>
                <w:kern w:val="0"/>
                <w:sz w:val="21"/>
                <w:szCs w:val="21"/>
                <w:u w:val="none"/>
                <w:lang w:val="en-US" w:eastAsia="zh-CN" w:bidi="ar"/>
              </w:rPr>
              <w:t>B0</w:t>
            </w:r>
            <w:r>
              <w:rPr>
                <w:rFonts w:hint="eastAsia" w:asciiTheme="minorEastAsia" w:hAnsiTheme="minorEastAsia" w:cstheme="minorEastAsia"/>
                <w:i w:val="0"/>
                <w:color w:val="000000" w:themeColor="text1"/>
                <w:kern w:val="0"/>
                <w:sz w:val="21"/>
                <w:szCs w:val="21"/>
                <w:u w:val="none"/>
                <w:lang w:val="en-US" w:eastAsia="zh-CN" w:bidi="ar"/>
              </w:rPr>
              <w:t>240</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李建勇</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eastAsiaTheme="minorEastAsia"/>
                <w:szCs w:val="21"/>
                <w:lang w:val="en-US" w:eastAsia="zh-CN"/>
              </w:rPr>
            </w:pPr>
            <w:r>
              <w:rPr>
                <w:rFonts w:hint="eastAsia"/>
                <w:szCs w:val="21"/>
                <w:lang w:val="en-US" w:eastAsia="zh-CN"/>
              </w:rPr>
              <w:t>红外光谱分析法川东北地区结石成分分析与结石预防</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川教函[2013]132号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13ZA0218</w:t>
            </w:r>
            <w:bookmarkStart w:id="0" w:name="_GoBack"/>
            <w:bookmarkEnd w:id="0"/>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牛彩琴</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苦豆子总碱降低家兔动脉血压的机制研究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14ZA0182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廖</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萱</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全基因组关联研究数据挖掘与高度近视候选基因功能研究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14ZA0183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李</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伟</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shRNA技术定向PPARγ基因预防及治疗激素性股骨头缺血坏死的实验研究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14ZA0185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汤建才</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PKM2抑制剂增强TK1治疗肺癌的疗效及作用机制研究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14ZA0193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杨</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颖</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GABA及GABA-A受体激动剂对ApoE-/-小鼠T淋巴细胞亚群的影响</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i w:val="0"/>
                <w:color w:val="000000" w:themeColor="text1"/>
                <w:kern w:val="0"/>
                <w:sz w:val="21"/>
                <w:szCs w:val="21"/>
                <w:u w:val="none"/>
                <w:lang w:val="en-US" w:eastAsia="zh-CN" w:bidi="ar"/>
              </w:rPr>
              <w:t>14ZB0187</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贾飞云</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香豆素及其衍生物电子结构及光谱性质的量子化学研究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14ZB0193</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刘文虎</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以a-酮酰胺作为Zn2+结合基团的组蛋白去乙酰化酶抑制剂的设计、合成及活性研究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14ZB0195</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王显飞</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大肠癌中Kiss-1基因甲基化类型及其蛋白质差异性表达的研究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14ZB0201</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阴新强</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孤啡肽和孤啡肽受体系统在癫痫中的作用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14ZB0204</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胡可芹</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全科护士“二级”规范化培养模式初探</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14SA0078</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张氦铟</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统筹城乡发展与推进公共服务均等化研究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14SB0122</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刘云</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NER通路基因（ERCC1、ERCC2、XPF、XPG）在年龄推断中的应用研究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重点</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14ZA0191</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刘行海</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葡萄籽原花青素对T2DM大鼠认知障碍调控作用研究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川教函[2013]934号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cstheme="minorEastAsia"/>
                <w:i w:val="0"/>
                <w:color w:val="000000" w:themeColor="text1"/>
                <w:kern w:val="0"/>
                <w:sz w:val="21"/>
                <w:szCs w:val="21"/>
                <w:u w:val="none"/>
                <w:lang w:val="en-US" w:eastAsia="zh-CN" w:bidi="ar"/>
              </w:rPr>
              <w:t>14ZB0191</w:t>
            </w:r>
          </w:p>
        </w:tc>
      </w:tr>
      <w:tr>
        <w:tblPrEx>
          <w:tblLayout w:type="fixed"/>
          <w:tblCellMar>
            <w:top w:w="15" w:type="dxa"/>
            <w:left w:w="108" w:type="dxa"/>
            <w:bottom w:w="15" w:type="dxa"/>
            <w:right w:w="108" w:type="dxa"/>
          </w:tblCellMar>
        </w:tblPrEx>
        <w:trPr>
          <w:trHeight w:val="83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钟晓武</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DNA甲基化修饰在痛风患者NLRP3炎性体信号通路的作用机制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川教函[2014]794号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15ZB0197</w:t>
            </w:r>
          </w:p>
        </w:tc>
      </w:tr>
      <w:tr>
        <w:tblPrEx>
          <w:tblLayout w:type="fixed"/>
          <w:tblCellMar>
            <w:top w:w="15" w:type="dxa"/>
            <w:left w:w="108" w:type="dxa"/>
            <w:bottom w:w="15"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30"/>
              <w:jc w:val="center"/>
              <w:rPr>
                <w:rFonts w:hint="eastAsia"/>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蒲秋菊</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跨文化背景下多模态隐喻使用的对比研究—以广告为例</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一般</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川教函[2014]794号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15SB0117</w:t>
            </w:r>
          </w:p>
        </w:tc>
      </w:tr>
    </w:tbl>
    <w:p/>
    <w:p>
      <w:pPr>
        <w:rPr>
          <w:color w:val="000000" w:themeColor="text1"/>
        </w:rPr>
      </w:pPr>
    </w:p>
    <w:p>
      <w:pPr>
        <w:rPr>
          <w:color w:val="000000" w:themeColor="text1"/>
        </w:rPr>
      </w:pPr>
    </w:p>
    <w:p>
      <w:pPr>
        <w:jc w:val="center"/>
        <w:rPr>
          <w:rFonts w:hint="eastAsia" w:ascii="黑体" w:eastAsia="黑体"/>
          <w:color w:val="000000" w:themeColor="text1"/>
          <w:sz w:val="32"/>
          <w:szCs w:val="32"/>
        </w:rPr>
      </w:pPr>
      <w:r>
        <w:rPr>
          <w:rFonts w:hint="eastAsia" w:ascii="黑体" w:eastAsia="黑体"/>
          <w:color w:val="000000" w:themeColor="text1"/>
          <w:sz w:val="32"/>
          <w:szCs w:val="32"/>
          <w:lang w:eastAsia="zh-CN"/>
        </w:rPr>
        <w:t>【附件二】</w:t>
      </w:r>
      <w:r>
        <w:rPr>
          <w:rFonts w:hint="eastAsia" w:ascii="黑体" w:eastAsia="黑体"/>
          <w:color w:val="000000" w:themeColor="text1"/>
          <w:sz w:val="32"/>
          <w:szCs w:val="32"/>
        </w:rPr>
        <w:t>四川省教育厅</w:t>
      </w:r>
      <w:r>
        <w:rPr>
          <w:rFonts w:hint="eastAsia" w:ascii="黑体" w:eastAsia="黑体"/>
          <w:color w:val="000000" w:themeColor="text1"/>
          <w:sz w:val="32"/>
          <w:szCs w:val="32"/>
          <w:lang w:eastAsia="zh-CN"/>
        </w:rPr>
        <w:t>思想政治教育</w:t>
      </w:r>
      <w:r>
        <w:rPr>
          <w:rFonts w:hint="eastAsia" w:ascii="黑体" w:eastAsia="黑体"/>
          <w:color w:val="000000" w:themeColor="text1"/>
          <w:sz w:val="32"/>
          <w:szCs w:val="32"/>
        </w:rPr>
        <w:t>项目结题一览表</w:t>
      </w:r>
    </w:p>
    <w:tbl>
      <w:tblPr>
        <w:tblStyle w:val="5"/>
        <w:tblW w:w="13849" w:type="dxa"/>
        <w:tblInd w:w="93" w:type="dxa"/>
        <w:tblLayout w:type="fixed"/>
        <w:tblCellMar>
          <w:top w:w="15" w:type="dxa"/>
          <w:left w:w="108" w:type="dxa"/>
          <w:bottom w:w="15" w:type="dxa"/>
          <w:right w:w="108" w:type="dxa"/>
        </w:tblCellMar>
      </w:tblPr>
      <w:tblGrid>
        <w:gridCol w:w="964"/>
        <w:gridCol w:w="1290"/>
        <w:gridCol w:w="5325"/>
        <w:gridCol w:w="2040"/>
        <w:gridCol w:w="2475"/>
        <w:gridCol w:w="1755"/>
      </w:tblGrid>
      <w:tr>
        <w:tblPrEx>
          <w:tblLayout w:type="fixed"/>
          <w:tblCellMar>
            <w:top w:w="15" w:type="dxa"/>
            <w:left w:w="108" w:type="dxa"/>
            <w:bottom w:w="15" w:type="dxa"/>
            <w:right w:w="108" w:type="dxa"/>
          </w:tblCellMar>
        </w:tblPrEx>
        <w:trPr>
          <w:trHeight w:val="62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项目负责人</w:t>
            </w:r>
          </w:p>
        </w:tc>
        <w:tc>
          <w:tcPr>
            <w:tcW w:w="5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项目名称</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项目类别</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文号</w:t>
            </w:r>
          </w:p>
        </w:tc>
        <w:tc>
          <w:tcPr>
            <w:tcW w:w="17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项目编号</w:t>
            </w:r>
          </w:p>
        </w:tc>
      </w:tr>
      <w:tr>
        <w:tblPrEx>
          <w:tblLayout w:type="fixed"/>
          <w:tblCellMar>
            <w:top w:w="15" w:type="dxa"/>
            <w:left w:w="108" w:type="dxa"/>
            <w:bottom w:w="15" w:type="dxa"/>
            <w:right w:w="108" w:type="dxa"/>
          </w:tblCellMar>
        </w:tblPrEx>
        <w:trPr>
          <w:trHeight w:val="84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lang w:val="en-US" w:eastAsia="zh-CN"/>
              </w:rPr>
            </w:pPr>
            <w:r>
              <w:rPr>
                <w:rFonts w:hint="eastAsia" w:asciiTheme="minorEastAsia" w:hAnsiTheme="minorEastAsia" w:cstheme="minorEastAsia"/>
                <w:color w:val="000000" w:themeColor="text1"/>
                <w:kern w:val="0"/>
                <w:sz w:val="21"/>
                <w:szCs w:val="21"/>
                <w:lang w:val="en-US" w:eastAsia="zh-CN"/>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color w:val="000000" w:themeColor="text1"/>
                <w:kern w:val="0"/>
                <w:sz w:val="21"/>
                <w:szCs w:val="21"/>
              </w:rPr>
              <w:t>李于骅</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color w:val="000000" w:themeColor="text1"/>
                <w:kern w:val="0"/>
                <w:sz w:val="21"/>
                <w:szCs w:val="21"/>
              </w:rPr>
              <w:t>高等院校突发公共事件舆论导向机制的研究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color w:val="000000" w:themeColor="text1"/>
                <w:kern w:val="0"/>
                <w:sz w:val="21"/>
                <w:szCs w:val="21"/>
              </w:rPr>
              <w:t>思政课题</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bottom"/>
          </w:tcPr>
          <w:p>
            <w:pPr>
              <w:keepNext w:val="0"/>
              <w:keepLines w:val="0"/>
              <w:pageBreakBefore w:val="0"/>
              <w:widowControl/>
              <w:kinsoku/>
              <w:wordWrap/>
              <w:overflowPunct/>
              <w:topLinePunct w:val="0"/>
              <w:autoSpaceDE/>
              <w:autoSpaceDN/>
              <w:bidi w:val="0"/>
              <w:adjustRightInd/>
              <w:snapToGrid/>
              <w:spacing w:line="120" w:lineRule="auto"/>
              <w:ind w:left="0" w:leftChars="0" w:right="0" w:rightChars="0" w:firstLine="0" w:firstLineChars="0"/>
              <w:jc w:val="left"/>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color w:val="000000" w:themeColor="text1"/>
                <w:kern w:val="0"/>
                <w:sz w:val="21"/>
                <w:szCs w:val="21"/>
              </w:rPr>
              <w:t>CJS08-023</w:t>
            </w:r>
          </w:p>
        </w:tc>
      </w:tr>
      <w:tr>
        <w:tblPrEx>
          <w:tblLayout w:type="fixed"/>
          <w:tblCellMar>
            <w:top w:w="15" w:type="dxa"/>
            <w:left w:w="108" w:type="dxa"/>
            <w:bottom w:w="15" w:type="dxa"/>
            <w:right w:w="108" w:type="dxa"/>
          </w:tblCellMar>
        </w:tblPrEx>
        <w:trPr>
          <w:trHeight w:val="84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lang w:val="en-US" w:eastAsia="zh-CN"/>
              </w:rPr>
            </w:pPr>
            <w:r>
              <w:rPr>
                <w:rFonts w:hint="eastAsia" w:asciiTheme="minorEastAsia" w:hAnsiTheme="minorEastAsia" w:cstheme="minorEastAsia"/>
                <w:color w:val="000000" w:themeColor="text1"/>
                <w:kern w:val="0"/>
                <w:sz w:val="21"/>
                <w:szCs w:val="21"/>
                <w:lang w:val="en-US" w:eastAsia="zh-CN"/>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杜凤鸣</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职业生涯规划与大学生思想政治教育研究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思想政治教育项目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ZJS11-059</w:t>
            </w:r>
          </w:p>
        </w:tc>
      </w:tr>
      <w:tr>
        <w:tblPrEx>
          <w:tblLayout w:type="fixed"/>
          <w:tblCellMar>
            <w:top w:w="15" w:type="dxa"/>
            <w:left w:w="108" w:type="dxa"/>
            <w:bottom w:w="15" w:type="dxa"/>
            <w:right w:w="108" w:type="dxa"/>
          </w:tblCellMar>
        </w:tblPrEx>
        <w:trPr>
          <w:trHeight w:val="84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lang w:val="en-US" w:eastAsia="zh-CN"/>
              </w:rPr>
            </w:pPr>
            <w:r>
              <w:rPr>
                <w:rFonts w:hint="eastAsia" w:asciiTheme="minorEastAsia" w:hAnsiTheme="minorEastAsia" w:cstheme="minorEastAsia"/>
                <w:color w:val="000000" w:themeColor="text1"/>
                <w:kern w:val="0"/>
                <w:sz w:val="21"/>
                <w:szCs w:val="21"/>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唐</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洁</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基于职业阶段特征的高校辅导员职业发展活动参与度研究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思政项目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无</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CJS13-068</w:t>
            </w:r>
          </w:p>
        </w:tc>
      </w:tr>
      <w:tr>
        <w:tblPrEx>
          <w:tblLayout w:type="fixed"/>
          <w:tblCellMar>
            <w:top w:w="15" w:type="dxa"/>
            <w:left w:w="108" w:type="dxa"/>
            <w:bottom w:w="15" w:type="dxa"/>
            <w:right w:w="108" w:type="dxa"/>
          </w:tblCellMar>
        </w:tblPrEx>
        <w:trPr>
          <w:trHeight w:val="84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lang w:val="en-US" w:eastAsia="zh-CN"/>
              </w:rPr>
            </w:pPr>
            <w:r>
              <w:rPr>
                <w:rFonts w:hint="eastAsia" w:asciiTheme="minorEastAsia" w:hAnsiTheme="minorEastAsia" w:cstheme="minorEastAsia"/>
                <w:color w:val="000000" w:themeColor="text1"/>
                <w:kern w:val="0"/>
                <w:sz w:val="21"/>
                <w:szCs w:val="21"/>
                <w:lang w:val="en-US"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郭岩杰</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医学院校校园文化建设之研究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思政项目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无</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CJS13-069</w:t>
            </w:r>
          </w:p>
        </w:tc>
      </w:tr>
      <w:tr>
        <w:tblPrEx>
          <w:tblLayout w:type="fixed"/>
          <w:tblCellMar>
            <w:top w:w="15" w:type="dxa"/>
            <w:left w:w="108" w:type="dxa"/>
            <w:bottom w:w="15" w:type="dxa"/>
            <w:right w:w="108" w:type="dxa"/>
          </w:tblCellMar>
        </w:tblPrEx>
        <w:trPr>
          <w:trHeight w:val="84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color w:val="000000" w:themeColor="text1"/>
                <w:kern w:val="0"/>
                <w:sz w:val="21"/>
                <w:szCs w:val="21"/>
                <w:lang w:val="en-US" w:eastAsia="zh-CN"/>
              </w:rPr>
            </w:pPr>
            <w:r>
              <w:rPr>
                <w:rFonts w:hint="eastAsia" w:asciiTheme="minorEastAsia" w:hAnsiTheme="minorEastAsia" w:cstheme="minorEastAsia"/>
                <w:color w:val="000000" w:themeColor="text1"/>
                <w:kern w:val="0"/>
                <w:sz w:val="21"/>
                <w:szCs w:val="21"/>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周</w:t>
            </w:r>
            <w:r>
              <w:rPr>
                <w:rFonts w:hint="eastAsia" w:asciiTheme="minorEastAsia" w:hAnsiTheme="minorEastAsia" w:cstheme="minorEastAsia"/>
                <w:i w:val="0"/>
                <w:color w:val="000000" w:themeColor="text1"/>
                <w:kern w:val="0"/>
                <w:sz w:val="21"/>
                <w:szCs w:val="21"/>
                <w:u w:val="none"/>
                <w:lang w:val="en-US" w:eastAsia="zh-CN" w:bidi="ar"/>
              </w:rPr>
              <w:t xml:space="preserve">  </w:t>
            </w:r>
            <w:r>
              <w:rPr>
                <w:rFonts w:hint="eastAsia" w:asciiTheme="minorEastAsia" w:hAnsiTheme="minorEastAsia" w:eastAsiaTheme="minorEastAsia" w:cstheme="minorEastAsia"/>
                <w:i w:val="0"/>
                <w:color w:val="000000" w:themeColor="text1"/>
                <w:kern w:val="0"/>
                <w:sz w:val="21"/>
                <w:szCs w:val="21"/>
                <w:u w:val="none"/>
                <w:lang w:val="en-US" w:eastAsia="zh-CN" w:bidi="ar"/>
              </w:rPr>
              <w:t>欣</w:t>
            </w:r>
          </w:p>
        </w:tc>
        <w:tc>
          <w:tcPr>
            <w:tcW w:w="532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高校学生干部心理健康状况调查极其与压力应对方式的相关研究</w:t>
            </w:r>
          </w:p>
        </w:tc>
        <w:tc>
          <w:tcPr>
            <w:tcW w:w="20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思政项目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无</w:t>
            </w:r>
          </w:p>
        </w:tc>
        <w:tc>
          <w:tcPr>
            <w:tcW w:w="175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kern w:val="0"/>
                <w:sz w:val="21"/>
                <w:szCs w:val="21"/>
                <w:u w:val="none"/>
                <w:lang w:val="en-US" w:eastAsia="zh-CN" w:bidi="ar"/>
              </w:rPr>
            </w:pPr>
            <w:r>
              <w:rPr>
                <w:rFonts w:hint="eastAsia" w:asciiTheme="minorEastAsia" w:hAnsiTheme="minorEastAsia" w:eastAsiaTheme="minorEastAsia" w:cstheme="minorEastAsia"/>
                <w:i w:val="0"/>
                <w:color w:val="000000" w:themeColor="text1"/>
                <w:kern w:val="0"/>
                <w:sz w:val="21"/>
                <w:szCs w:val="21"/>
                <w:u w:val="none"/>
                <w:lang w:val="en-US" w:eastAsia="zh-CN" w:bidi="ar"/>
              </w:rPr>
              <w:t>CJS14-065</w:t>
            </w:r>
          </w:p>
        </w:tc>
      </w:tr>
    </w:tbl>
    <w:p>
      <w:pPr>
        <w:keepNext w:val="0"/>
        <w:keepLines w:val="0"/>
        <w:pageBreakBefore w:val="0"/>
        <w:kinsoku/>
        <w:wordWrap/>
        <w:overflowPunct/>
        <w:topLinePunct w:val="0"/>
        <w:autoSpaceDE/>
        <w:autoSpaceDN/>
        <w:bidi w:val="0"/>
        <w:adjustRightInd/>
        <w:snapToGrid/>
        <w:spacing w:line="120" w:lineRule="auto"/>
        <w:ind w:left="0" w:leftChars="0" w:right="0" w:rightChars="0" w:firstLine="0" w:firstLineChars="0"/>
        <w:jc w:val="center"/>
        <w:outlineLvl w:val="9"/>
        <w:rPr>
          <w:rFonts w:hint="eastAsia" w:ascii="黑体" w:eastAsia="黑体"/>
          <w:color w:val="000000" w:themeColor="text1"/>
          <w:sz w:val="18"/>
          <w:szCs w:val="18"/>
        </w:rPr>
      </w:pPr>
    </w:p>
    <w:p>
      <w:pPr>
        <w:keepNext w:val="0"/>
        <w:keepLines w:val="0"/>
        <w:pageBreakBefore w:val="0"/>
        <w:kinsoku/>
        <w:wordWrap/>
        <w:overflowPunct/>
        <w:topLinePunct w:val="0"/>
        <w:autoSpaceDE/>
        <w:autoSpaceDN/>
        <w:bidi w:val="0"/>
        <w:adjustRightInd/>
        <w:snapToGrid/>
        <w:spacing w:line="120" w:lineRule="auto"/>
        <w:ind w:left="0" w:leftChars="0" w:right="0" w:rightChars="0" w:firstLine="0" w:firstLineChars="0"/>
        <w:jc w:val="center"/>
        <w:outlineLvl w:val="9"/>
        <w:rPr>
          <w:rFonts w:hint="eastAsia" w:ascii="黑体" w:eastAsia="黑体"/>
          <w:color w:val="000000" w:themeColor="text1"/>
          <w:sz w:val="18"/>
          <w:szCs w:val="18"/>
        </w:rPr>
      </w:pPr>
    </w:p>
    <w:p>
      <w:pPr>
        <w:keepNext w:val="0"/>
        <w:keepLines w:val="0"/>
        <w:pageBreakBefore w:val="0"/>
        <w:kinsoku/>
        <w:wordWrap/>
        <w:overflowPunct/>
        <w:topLinePunct w:val="0"/>
        <w:autoSpaceDE/>
        <w:autoSpaceDN/>
        <w:bidi w:val="0"/>
        <w:adjustRightInd/>
        <w:snapToGrid/>
        <w:spacing w:line="120" w:lineRule="auto"/>
        <w:ind w:left="0" w:leftChars="0" w:right="0" w:rightChars="0" w:firstLine="0" w:firstLineChars="0"/>
        <w:jc w:val="center"/>
        <w:outlineLvl w:val="9"/>
        <w:rPr>
          <w:rFonts w:hint="eastAsia" w:ascii="黑体" w:eastAsia="黑体"/>
          <w:color w:val="000000" w:themeColor="text1"/>
          <w:sz w:val="18"/>
          <w:szCs w:val="18"/>
        </w:rPr>
      </w:pPr>
    </w:p>
    <w:p>
      <w:pPr>
        <w:keepNext w:val="0"/>
        <w:keepLines w:val="0"/>
        <w:pageBreakBefore w:val="0"/>
        <w:kinsoku/>
        <w:wordWrap/>
        <w:overflowPunct/>
        <w:topLinePunct w:val="0"/>
        <w:autoSpaceDE/>
        <w:autoSpaceDN/>
        <w:bidi w:val="0"/>
        <w:adjustRightInd/>
        <w:snapToGrid/>
        <w:spacing w:line="120" w:lineRule="auto"/>
        <w:ind w:left="0" w:leftChars="0" w:right="0" w:rightChars="0" w:firstLine="0" w:firstLineChars="0"/>
        <w:jc w:val="center"/>
        <w:outlineLvl w:val="9"/>
        <w:rPr>
          <w:rFonts w:hint="eastAsia" w:ascii="黑体" w:eastAsia="黑体"/>
          <w:color w:val="000000" w:themeColor="text1"/>
          <w:sz w:val="18"/>
          <w:szCs w:val="18"/>
        </w:rPr>
      </w:pPr>
    </w:p>
    <w:p>
      <w:pPr>
        <w:keepNext w:val="0"/>
        <w:keepLines w:val="0"/>
        <w:pageBreakBefore w:val="0"/>
        <w:kinsoku/>
        <w:wordWrap/>
        <w:overflowPunct/>
        <w:topLinePunct w:val="0"/>
        <w:autoSpaceDE/>
        <w:autoSpaceDN/>
        <w:bidi w:val="0"/>
        <w:adjustRightInd/>
        <w:snapToGrid/>
        <w:spacing w:line="120" w:lineRule="auto"/>
        <w:ind w:left="0" w:leftChars="0" w:right="0" w:rightChars="0" w:firstLine="0" w:firstLineChars="0"/>
        <w:jc w:val="center"/>
        <w:outlineLvl w:val="9"/>
        <w:rPr>
          <w:rFonts w:hint="eastAsia" w:ascii="黑体" w:eastAsia="黑体"/>
          <w:color w:val="000000" w:themeColor="text1"/>
          <w:sz w:val="18"/>
          <w:szCs w:val="18"/>
        </w:rPr>
      </w:pPr>
    </w:p>
    <w:p>
      <w:pPr>
        <w:widowControl/>
        <w:jc w:val="left"/>
        <w:rPr>
          <w:rFonts w:hint="eastAsia" w:ascii="Times New Roman" w:hAnsi="宋体"/>
          <w:color w:val="000000" w:themeColor="text1"/>
          <w:kern w:val="0"/>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华文隶书">
    <w:altName w:val="微软雅黑"/>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E66CA"/>
    <w:multiLevelType w:val="singleLevel"/>
    <w:tmpl w:val="593E66CA"/>
    <w:lvl w:ilvl="0" w:tentative="0">
      <w:start w:val="1"/>
      <w:numFmt w:val="decimal"/>
      <w:pStyle w:val="29"/>
      <w:lvlText w:val="%1."/>
      <w:lvlJc w:val="left"/>
      <w:pPr>
        <w:ind w:left="425" w:leftChars="0" w:hanging="425" w:firstLineChars="0"/>
      </w:pPr>
      <w:rPr>
        <w:rFonts w:hint="default"/>
      </w:rPr>
    </w:lvl>
  </w:abstractNum>
  <w:abstractNum w:abstractNumId="1">
    <w:nsid w:val="593E67C0"/>
    <w:multiLevelType w:val="singleLevel"/>
    <w:tmpl w:val="593E67C0"/>
    <w:lvl w:ilvl="0" w:tentative="0">
      <w:start w:val="1"/>
      <w:numFmt w:val="decimal"/>
      <w:pStyle w:val="30"/>
      <w:lvlText w:val="%1."/>
      <w:lvlJc w:val="left"/>
      <w:pPr>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50BC1"/>
    <w:rsid w:val="00C352EA"/>
    <w:rsid w:val="00E50BC1"/>
    <w:rsid w:val="0B966438"/>
    <w:rsid w:val="12021FD2"/>
    <w:rsid w:val="3AC17AE4"/>
    <w:rsid w:val="3AC37D01"/>
    <w:rsid w:val="3E631F86"/>
    <w:rsid w:val="45111D11"/>
    <w:rsid w:val="622D4BD9"/>
    <w:rsid w:val="7B982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character" w:styleId="4">
    <w:name w:val="Hyperlink"/>
    <w:basedOn w:val="3"/>
    <w:unhideWhenUsed/>
    <w:qFormat/>
    <w:uiPriority w:val="99"/>
    <w:rPr>
      <w:color w:val="0000FF"/>
      <w:u w:val="single"/>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7">
    <w:name w:val="批注框文本 Char"/>
    <w:basedOn w:val="3"/>
    <w:link w:val="2"/>
    <w:semiHidden/>
    <w:qFormat/>
    <w:uiPriority w:val="99"/>
    <w:rPr>
      <w:sz w:val="18"/>
      <w:szCs w:val="18"/>
    </w:rPr>
  </w:style>
  <w:style w:type="character" w:customStyle="1" w:styleId="8">
    <w:name w:val="font41"/>
    <w:basedOn w:val="3"/>
    <w:qFormat/>
    <w:uiPriority w:val="0"/>
    <w:rPr>
      <w:rFonts w:hint="eastAsia" w:ascii="微软雅黑" w:hAnsi="微软雅黑" w:eastAsia="微软雅黑"/>
      <w:b/>
      <w:bCs/>
      <w:color w:val="000000"/>
      <w:sz w:val="20"/>
      <w:szCs w:val="20"/>
      <w:u w:val="none"/>
    </w:rPr>
  </w:style>
  <w:style w:type="paragraph" w:customStyle="1" w:styleId="9">
    <w:name w:val="et6"/>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10">
    <w:name w:val="et7"/>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11">
    <w:name w:val="et8"/>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12">
    <w:name w:val="et9"/>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13">
    <w:name w:val="et10"/>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14">
    <w:name w:val="et11"/>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15">
    <w:name w:val="et12"/>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16">
    <w:name w:val="et13"/>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17">
    <w:name w:val="et14"/>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18">
    <w:name w:val="et15"/>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19">
    <w:name w:val="et17"/>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20">
    <w:name w:val="et18"/>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21">
    <w:name w:val="et19"/>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22">
    <w:name w:val="et20"/>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23">
    <w:name w:val="et21"/>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24">
    <w:name w:val="et22"/>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25">
    <w:name w:val="et24"/>
    <w:basedOn w:val="1"/>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paragraph" w:customStyle="1" w:styleId="26">
    <w:name w:val="et25"/>
    <w:basedOn w:val="1"/>
    <w:qFormat/>
    <w:uiPriority w:val="0"/>
    <w:pPr>
      <w:widowControl/>
      <w:spacing w:before="100" w:beforeAutospacing="1" w:after="100" w:afterAutospacing="1"/>
      <w:jc w:val="left"/>
      <w:textAlignment w:val="bottom"/>
    </w:pPr>
    <w:rPr>
      <w:rFonts w:ascii="微软雅黑" w:hAnsi="微软雅黑" w:eastAsia="微软雅黑" w:cs="宋体"/>
      <w:color w:val="000000"/>
      <w:kern w:val="0"/>
      <w:sz w:val="24"/>
      <w:szCs w:val="24"/>
    </w:rPr>
  </w:style>
  <w:style w:type="character" w:customStyle="1" w:styleId="27">
    <w:name w:val="font21"/>
    <w:basedOn w:val="3"/>
    <w:qFormat/>
    <w:uiPriority w:val="0"/>
    <w:rPr>
      <w:rFonts w:hint="eastAsia" w:ascii="微软雅黑" w:hAnsi="微软雅黑" w:eastAsia="微软雅黑" w:cs="微软雅黑"/>
      <w:color w:val="000000"/>
      <w:sz w:val="20"/>
      <w:szCs w:val="20"/>
      <w:u w:val="none"/>
    </w:rPr>
  </w:style>
  <w:style w:type="character" w:customStyle="1" w:styleId="28">
    <w:name w:val="font51"/>
    <w:basedOn w:val="3"/>
    <w:qFormat/>
    <w:uiPriority w:val="0"/>
    <w:rPr>
      <w:rFonts w:hint="eastAsia" w:ascii="微软雅黑" w:hAnsi="微软雅黑" w:eastAsia="微软雅黑" w:cs="微软雅黑"/>
      <w:color w:val="000000"/>
      <w:sz w:val="22"/>
      <w:szCs w:val="22"/>
      <w:u w:val="none"/>
    </w:rPr>
  </w:style>
  <w:style w:type="paragraph" w:customStyle="1" w:styleId="29">
    <w:name w:val="样式1"/>
    <w:basedOn w:val="1"/>
    <w:uiPriority w:val="0"/>
    <w:pPr>
      <w:numPr>
        <w:ilvl w:val="0"/>
        <w:numId w:val="1"/>
      </w:numPr>
    </w:pPr>
    <w:rPr>
      <w:rFonts w:asciiTheme="minorAscii" w:hAnsiTheme="minorAscii"/>
    </w:rPr>
  </w:style>
  <w:style w:type="paragraph" w:customStyle="1" w:styleId="30">
    <w:name w:val="样式2"/>
    <w:basedOn w:val="1"/>
    <w:uiPriority w:val="0"/>
    <w:pPr>
      <w:numPr>
        <w:ilvl w:val="0"/>
        <w:numId w:val="2"/>
      </w:numPr>
    </w:pPr>
    <w:rPr>
      <w:rFonts w:asciiTheme="minorAscii" w:hAnsiTheme="minorAsci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465</Words>
  <Characters>2657</Characters>
  <Lines>22</Lines>
  <Paragraphs>6</Paragraphs>
  <ScaleCrop>false</ScaleCrop>
  <LinksUpToDate>false</LinksUpToDate>
  <CharactersWithSpaces>3116</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2017-05-18T03:12:00Z</dcterms:created>
  <dc:creator>胡澜</dc:creator>
  <cp:lastModifiedBy>qwed</cp:lastModifiedBy>
  <cp:lastPrinted>2017-06-09T01:24:00Z</cp:lastPrinted>
  <dcterms:modified xsi:type="dcterms:W3CDTF">2017-06-13T02:45:12Z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