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adjustRightInd w:val="0"/>
        <w:snapToGrid w:val="0"/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44"/>
        </w:rPr>
        <w:t>川北医学院课程评估指标体系（2022年修订版）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77"/>
        <w:gridCol w:w="429"/>
        <w:gridCol w:w="3389"/>
        <w:gridCol w:w="3198"/>
        <w:gridCol w:w="2181"/>
        <w:gridCol w:w="1013"/>
        <w:gridCol w:w="487"/>
        <w:gridCol w:w="397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97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评价内容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评分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支撑材料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二级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A级（系数=1.0）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B级（系数=0.8）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C级（系数=0.6）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D级（系数=0）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院系自评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专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家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评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分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1.规划标准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（15分）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建设理念与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目标规划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坚持立德树人，坚持以学生发展为中心，契合学校办学理念，很好融入课程思政，且课程思政点选取恰当、合理，无意识形态领域问题。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坚持立德树人，坚持以学生发展为中心，较为契合学校办学理念，较好融入课程思政，且课程思政点选取恰当、合理，无意识形态领域问题。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坚持立德树人，坚持以学生发展为中心，部分融入课程思政，且课程思政点选取恰当、合理，无意识形态领域问题。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受评课程课程思政案例集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实行课程负责人制，有明确的课程建设远、中、近期规划；团队团结向上，师德优良，授课水平高，学术氛围好。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实行课程负责人制，有较明确的课程建设规划；团队较团结，师德较优良，授课水平较高，学术氛围较好。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实行课程负责人制，有课程建设与规划；团队授课水平一般，学术氛围一般。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课程标准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教学大纲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能准确把握课程性质与定位，教学大纲更新及时，内容规范、执行认真，完全符合专业人才培养目标。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能较为准确把握课程性质与定位，教学大纲更新较为及时，内容较为规范、执行较为认真，符合专业人才培养目标。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课程标准与教学大纲较为符合专业人才培养目标。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课程教学大纲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制度规范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教学工作制度健全，管理规范，执行到位；教学文件与教学文档齐备。近5年无任何教学差错和教学事故。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制度比较健全，执行较好。教学文件与教学文档较齐备；近5年无教学差错和教学事故。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制度比较健全，执行一般；近5年无教学事故。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2.师资队伍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（15分）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职称结构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课程团队职称结构合理，高级职称占比＞40%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课程团队职称结构较合理，高级职称占比30～40%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课程团队职称结构一般，高级职称的占比20～29%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师资数量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课程教师（含实验教师）数量≥6人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课程教师（含实验教师）数量≥4人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课程教师（含实验教师）数量≥2人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学历结构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教师中拥有研究生学历占比≥80%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教师中拥有研究生学历占比≥60%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教师中拥有研究生学历占比≥50%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年龄结构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50岁以下教师占比≥80%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50岁以下教师占比≥60%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50岁以下教师占比≥40%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教师培养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获得国家级或省级教学荣誉或表彰。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获得校级教学名师或近5年内被评为本科优秀教学奖。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近5年内被评为校级本科优秀教学奖。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电子档或者照片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青年教师培养目标明确、计划合理、措施得当；坚持“以老带新”制度，成效显著。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青年教师培养目标明确、规划合理、措施得当；坚持“以老带新”制度，较有成效。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青年教师培养有目标、有规划、有措施，但规划和措施执行一般。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培养计划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3.教学资源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（15分）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经费投</w:t>
            </w:r>
          </w:p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入及使用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经费投入完全能够满足教学需要，使用合理，效果良好。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经费投入能够较好满足教学需要，使用比较合理，效果较好。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经费投入基本满足教学需要，使用效果一般。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教材建设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教材选用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严格实施学校教材建设规划，特色明显；有国家级出版社出版的教材或获省部级奖的教材。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建设规划与实施较好；有省部级出版社出版的教材。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规划与实施一般；重视编写反映本校特色的教材。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选用最新版本的三大出版社出版的教材或国家规划教材。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选用三大出版社出版的教材或国家规划教材。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选用自编教材或其它教材。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线上资源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具有稳定先进的线上学习资源平台；线上教学资源丰富、更新及时；教师和学生对各类资源的利用率高。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具有较为稳定先进的线上学习资源平台；线上教学资源较丰富，更新较及时；教师和学生利用率较高。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具有网络教学和学习资源平台；教师和学生利用率一般。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提供网址、账号、密码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线下资源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各类线下资料丰富；教师收集、编写各类学习资料与指南，无偿提供师生共享；能满足教学、科研的需求，使用效果好。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各类线下资料较丰富；教师向学生推荐使用；能满足教学、科研的需求，使用效果较好。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有基本的资料，能基本满足教学、科研的要求，使用效果一般。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提供电子档或者实物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实验条件（限开设有实验的课程）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实验教学场地能够满足需要；设备先进，安排合理；实验开出率达100%。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实验教学场地能够较好满足需要；设备较先进，安排合理；实验开出率达≥80%。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实验教学场地基本满足需要；实验教学有安排；实验开出率达≥60%。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4.教学过程（30分）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备课情况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教学设计理念先进；课程团队集体和个人备课认真；教案、讲稿书写规范、内容完整，及时更新，符合教学大纲要求。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教学设计理念较先进；课程团队集体和个人备课较认真；教案、讲稿书写规范、内容完整，更新较及时，比较符合教学大纲要求。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教案、讲稿书写欠规范、内容基本完整，基本符合教学大纲要求。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提供该门课程所有教师教案、课程备课记录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教学手段与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教学方法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充分掌握、应用现代教育信息技术；课件制作精良；采用先进、科学、合理、多样的教学方法；积极实施因材施教；教学效果好，学生欢迎度高。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充分应用现代教育信息技术；课件制作较好；教学方法得当；教学效果较好，学生欢迎度较高。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能够应用现代教育信息技术；课件制作一般；教学效果一般，学生欢迎度一般。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提供学生评价该门课程的材料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*课堂教学</w:t>
            </w:r>
          </w:p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（结合各类评教结果）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遵循大纲要求，执行学校课堂教学规范好；师生互动好，注重启发与引导；重点突出、难点突破；表达准确、条理清晰；充分结合科研与学科前沿；管理课堂责任心强；课堂气氛活跃；有改进、反思。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遵循大纲要求，执行学校课堂教学规范较好；师生互动较好，注重启发与引导；重点突出、难点突破；表达较准确、条理清晰；结合科研与学科前沿；管理课堂责任心较强；课堂气氛较活跃。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遵循大纲要求，执行学校课堂教学规范；有师生互动；重点较突出；表达一般；充分结合科研与学科前沿；能管理课堂；课堂气氛一般。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提供该门课程所有教师的课件或授课材料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实验教学</w:t>
            </w:r>
          </w:p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（限开设有实验的课程）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有完备的实验教学大纲，内容更新及时；注重学生实验动手、操作能力和创新能力培养；综合性、设计性、创新性实验占比≥30%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有完备的实验教学大纲，内容更新较及时；较注重学生实验动手、操作能力和创新能力培养；综合性、设计性、创新性实验占比≥20%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有完备的实验教学大纲，内容有更新；综合性、设计性、创新性实验占比≥10%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实验项目清单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实验准备充分，方法得当，能满足学生需要；教师示范与指导及时到位；教学效果好。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实验准备较充分，方法较合理，较能满足学生需要；教师示范与指导较好；教学效果较好。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实验准备一般，教学效果一般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实习指导</w:t>
            </w:r>
          </w:p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（限有实习项目的课程）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实习指导准备充分、重点突出、组织有序，能认真、及时批改实习报告，教学效果好。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实习指导准备比较充分、重点比较突出，批改实习报告比较认真，教学效果比较好。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实习指导准备一般，批改实习报告比较及时，教学效果一般。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提供实习报告截图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考试考核</w:t>
            </w:r>
          </w:p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分析利用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建立高质量试题库，考试的形式与内容符合课程的性质与要求。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利用高质量试题库，考试的形式与内容符合课程的性质与要求。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考试的形式符合课程的性质与要求。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提供前一年试卷及答案、学生答卷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充分利用各类试卷分析软件对试卷质量、考试结果进行全面分析且成绩呈正态分布，有问题、原因、改进措施等内容，考试结果利用效果好。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对考试结果进行较全面分析且成绩呈正态分布，有问题、原因、改进措施等内容，考试结果利用效果较好。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对考试结果进行分析，考试结果利用效果一般。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提供课程成绩登记表（平时、期末）、考试分析记录表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5.质量保障（10分）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同行、领导或专家评教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近3年同行、领导或专家评教结果，所有被评教师均为优秀。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近3年同行、领导或专家评教结果，所有被评教师均为优秀或良好。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近3年同行、领导或专家评教结果，有教师被评为合格。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提供院系内部督导专家评课记录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学生评教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</w:t>
            </w:r>
            <w:r>
              <w:rPr>
                <w:rFonts w:hint="eastAsia"/>
                <w:color w:val="000000"/>
                <w:sz w:val="18"/>
                <w:szCs w:val="18"/>
              </w:rPr>
              <w:t>学生评教结果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，所有被评教师均为优秀。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</w:t>
            </w:r>
            <w:r>
              <w:rPr>
                <w:rFonts w:hint="eastAsia"/>
                <w:color w:val="000000"/>
                <w:sz w:val="18"/>
                <w:szCs w:val="18"/>
              </w:rPr>
              <w:t>学生评教结果，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所有被评教师均为优秀或良好。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</w:t>
            </w:r>
            <w:r>
              <w:rPr>
                <w:rFonts w:hint="eastAsia"/>
                <w:color w:val="000000"/>
                <w:sz w:val="18"/>
                <w:szCs w:val="18"/>
              </w:rPr>
              <w:t>学生评教结果，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有教师被评为合格。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评估中心提供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*教授为本科生授课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教授每学年均为本科生授课，且授课学时率≥50%；无讲师及以下职称教师主讲该课程。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教授每学年均为本科生授课，且授课学时率≥30%；无助教主讲该课程。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教授每学年均为本科生授课，且授课学时率≥10%；无助教主讲该课程。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报告描述，评估中心核查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6.改革成果（15分）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教学改革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有规划，指导思想明确，措施得力，效果显著。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有规划、有措施，效果较好。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有改革但措施不得力或效果一般。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90%以上课程教师参与教学改革。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70%以上课程教师参与教学改革。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50%以上课程教师参与教学改革。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教学研究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经常开展教学研究工作，近5年有国家级或省部级以上的教学改革与研究课题立项（团队教师为负责人）。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经常开展教学研究工作，近5年有省部级教学改革与研究课题立项（团队教师参研）或担任校级立项课题负责人。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开展教学研究工作，近3年有校级教学研究立项。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提供承担该门课程教师负责、参与的课题清单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每年在中文核心发表教改教研类论文≥1篇。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每年在知网、维普、万方收录期刊发表教改教研类论文≥2篇。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每年发表教改教研类论文1篇。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教学成果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获省部级教学成果二等奖及以上或校级教学成果一等奖。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获校级教学成果二等奖。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获校级教学成果三等奖。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科研成果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获省部级科研成果二等奖（校级一等奖）及以上。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获省部级科研成果三等奖（校级二等奖）及以上。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获校级科研成果三等奖。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专著或</w:t>
            </w:r>
          </w:p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科研论文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近5年有国家出版社出版的专著或每年至少发表科研论文3篇（不包含教改教研类）。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近5年出版有专著或每年发表科研论文2篇（不包含教改教研类）。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每年发表科研论文1篇（不包含教改教研类）。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提供承担该门课程的教师论文清单（一作或通讯）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7.课程特色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（附加10分）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课程特色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课程整体质量和学生满意度高，在人才培养中的作用大，特色和成效显著。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课程整体质量和学生满意度较高，在人才培养中的作用较大，特色和成效较显著。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课程整体质量和学生满意度一般，在人才培养中的作用一般，特色和成效一般。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48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报告描述</w:t>
            </w:r>
          </w:p>
        </w:tc>
      </w:tr>
    </w:tbl>
    <w:p>
      <w:pPr>
        <w:rPr>
          <w:rFonts w:hint="eastAsia"/>
          <w:b/>
          <w:color w:val="000000"/>
        </w:rPr>
        <w:sectPr>
          <w:pgSz w:w="16838" w:h="11906" w:orient="landscape"/>
          <w:pgMar w:top="1746" w:right="1440" w:bottom="1689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color w:val="000000"/>
        </w:rPr>
        <w:t>注：1.评估指标体系包括一级指标5个，二级指标29个，</w:t>
      </w:r>
      <w:r>
        <w:rPr>
          <w:rFonts w:hint="eastAsia" w:ascii="宋体" w:hAnsi="宋体" w:cs="宋体"/>
          <w:b/>
          <w:color w:val="000000"/>
        </w:rPr>
        <w:t>总分为100分；</w:t>
      </w:r>
      <w:r>
        <w:rPr>
          <w:rFonts w:hint="eastAsia"/>
          <w:b/>
          <w:color w:val="000000"/>
        </w:rPr>
        <w:t>2.评价结果分为ABCD四级，A级≥85分，B级75～84分，C级60～74分，D级＜60分</w:t>
      </w:r>
      <w:r>
        <w:rPr>
          <w:rFonts w:hint="eastAsia" w:ascii="宋体" w:hAnsi="宋体" w:cs="宋体"/>
          <w:b/>
          <w:color w:val="000000"/>
        </w:rPr>
        <w:t>；3.</w:t>
      </w:r>
      <w:r>
        <w:rPr>
          <w:rFonts w:hint="eastAsia"/>
          <w:b/>
          <w:color w:val="000000"/>
        </w:rPr>
        <w:t xml:space="preserve"> </w:t>
      </w:r>
      <w:r>
        <w:rPr>
          <w:rFonts w:hint="eastAsia" w:ascii="宋体" w:hAnsi="宋体" w:cs="宋体"/>
          <w:b/>
          <w:color w:val="000000"/>
          <w:vertAlign w:val="superscript"/>
        </w:rPr>
        <w:t>*</w:t>
      </w:r>
      <w:r>
        <w:rPr>
          <w:rFonts w:hint="eastAsia" w:ascii="宋体" w:hAnsi="宋体" w:cs="宋体"/>
          <w:b/>
          <w:color w:val="000000"/>
        </w:rPr>
        <w:t>为核心指标（必查项目）。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川北医学院整合课程评价补充指标体系（2022年修订版）</w:t>
      </w:r>
    </w:p>
    <w:tbl>
      <w:tblPr>
        <w:tblStyle w:val="5"/>
        <w:tblW w:w="15525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65"/>
        <w:gridCol w:w="660"/>
        <w:gridCol w:w="3705"/>
        <w:gridCol w:w="3705"/>
        <w:gridCol w:w="3195"/>
        <w:gridCol w:w="1065"/>
        <w:gridCol w:w="66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特色项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</w:t>
            </w:r>
          </w:p>
        </w:tc>
        <w:tc>
          <w:tcPr>
            <w:tcW w:w="116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评价内容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一级指标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二级指标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A级</w:t>
            </w:r>
            <w:r>
              <w:rPr>
                <w:rFonts w:hint="eastAsia"/>
                <w:color w:val="000000"/>
              </w:rPr>
              <w:t>（系数=1.0）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B级</w:t>
            </w:r>
            <w:r>
              <w:rPr>
                <w:rFonts w:hint="eastAsia"/>
                <w:color w:val="000000"/>
              </w:rPr>
              <w:t>（系数=0.8）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C级</w:t>
            </w:r>
            <w:r>
              <w:rPr>
                <w:rFonts w:hint="eastAsia"/>
                <w:color w:val="000000"/>
              </w:rPr>
              <w:t>（系数=0.6）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D级</w:t>
            </w:r>
            <w:r>
              <w:rPr>
                <w:rFonts w:hint="eastAsia"/>
                <w:color w:val="000000"/>
              </w:rPr>
              <w:t>（系数=0）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院系自评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师资整合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师资整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合结构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不同学科之间教授占比≥40%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不同学科之间教授占比≥30%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不同学科之间教授占比≥20%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师资整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合范围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学院（系、部）之间的整合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学科之间的整合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教研室之间的整合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师资授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课情况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根据课程内容的设计要求，本学科之外的教师授课时数占比≥8%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根据课程内容的设计要求，本学科之外的教师授课时数占比≥6%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根据课程内容的设计要求，本学科之外的教师授课时数占比≥2%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内容整合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学科知识间的整合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能够系统性的整合不同学科知识，使学生的学习内容能够形成体系。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能够系统性的整合不同学科知识。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能够整合不同学科知识。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学科知识与生活的整合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使学生的课程内容能够很好地与社会、科技以及生活相适应。引导学生对自然、社会、自我进行深层次的反思。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使学生的课程内容能够与社会、科技以及生活相适应。引导学生对自然、社会、自我进行反思。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使学生的课程内容能够与社会、科技以及生活相适应。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资源的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整合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充分利用社会、网络、人力等资源，重选课程内容和重构课程模式。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利用社会、网络、人力等资源，重选课程内容和重构课程模式。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利用人力资源，重选课程内容和重构课程模式。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学习方式的整合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能够根据不同的课程知识、要求和学生特点开展多样化的学习活动。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能够根据不同的课程知识和要求开展多样化的学习活动。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开展有多样的学习活动。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整合效果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习效果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能够使学生从多重视角整合地处理相关信息，能更全面、客观地理解知识和解决问题。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能够培养学生从多重视角整合地处理相关信息，理解知识和解决问题。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使学生初步了解学习内容的多学科关联。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rPr>
          <w:rFonts w:hint="eastAsia" w:ascii="宋体" w:hAnsi="宋体" w:cs="宋体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川北医学院精品在线课程评价补充指标体系（2022年修订版）</w:t>
      </w:r>
    </w:p>
    <w:tbl>
      <w:tblPr>
        <w:tblStyle w:val="5"/>
        <w:tblW w:w="15480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5"/>
        <w:gridCol w:w="690"/>
        <w:gridCol w:w="3705"/>
        <w:gridCol w:w="3885"/>
        <w:gridCol w:w="3225"/>
        <w:gridCol w:w="1005"/>
        <w:gridCol w:w="78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特色项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</w:t>
            </w:r>
          </w:p>
        </w:tc>
        <w:tc>
          <w:tcPr>
            <w:tcW w:w="118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评价内容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一级指标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二级指标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A级</w:t>
            </w:r>
            <w:r>
              <w:rPr>
                <w:rFonts w:hint="eastAsia"/>
                <w:color w:val="000000"/>
              </w:rPr>
              <w:t>（系数=1.0）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B级</w:t>
            </w:r>
            <w:r>
              <w:rPr>
                <w:rFonts w:hint="eastAsia"/>
                <w:color w:val="000000"/>
              </w:rPr>
              <w:t>（系数=0.8）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C级</w:t>
            </w:r>
            <w:r>
              <w:rPr>
                <w:rFonts w:hint="eastAsia"/>
                <w:color w:val="000000"/>
              </w:rPr>
              <w:t>（系数=0.6）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D级</w:t>
            </w:r>
            <w:r>
              <w:rPr>
                <w:rFonts w:hint="eastAsia"/>
                <w:color w:val="000000"/>
              </w:rPr>
              <w:t>（系数=0）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院系自评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课程设计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导向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内容导向正确，无不宜网络公开传播的内容。遵循教育教学规律，具有较高的科学性水平。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内容导向正确，无不宜网络公开传播的内容。遵循教育教学规律，具有一定的科学性水平。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设计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课程符合大规模在线开放课程教学特征，适合在线学习和混合式学习。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课程有大规模在线开放课程的教学特征，有助于学生在线学习和混合式学习。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课程有在线开放课程的教学特征，有助于学生在线学习和混合式学习。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资源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课程在线资源齐备，课程知识体系科学，资源配置全面、合理。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课程在线资源较齐备，课程知识体系较科学，资源配置较全面、合理。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有一定的在线课程资源。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教学活动与教学指导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教师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指导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通过课程平台，教师为学习者提供安排合理的测验、作业、考试、答疑、讨论等教学活动，及时开展在线指导与测评。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通过课程平台，教师为学习者提供测验、作业、考试、答疑、讨论等教学活动，开展有在线指导与测评。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教师开展在线指导与测评。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互动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学习者在线学习响应度高，师生互动充分，能有效促进师生之间、学生之间进行资源共享、互动交流和自主式协作式学习。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学习者在线学习响应度较高，师生互动较充分，能有效促进师生之间、学生之间进行资源共享、互动交流和自主式协作式学习。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学习者在线学习响应度一般，师生有互动，能一定程度促进师生之间、学生之间进行资源共享、互动交流和自主式协作式学习。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教学过程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课程有完整的教学过程和教学活动（在线测试、答疑等）。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课程有较完整的教学过程和教学活动（在线测试、答疑等）。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课程有教学过程和教学活动（在线测试、答疑等）。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应用效果与影响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课程效果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在本校教学过程中能较好应用，在其他高校和社会学习者中共享范围广，应用模式多样 ，应用效果好，社会影响大。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在本校教学过程中能较好应用，应用模式多样，应用效果好。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在本校教学过程中能较好应用，应用模式多样，应用效果较好。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观看效果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课程年均点击率≥6000人次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课程年均点击率≥3000人次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课程年均点击率≥1000人次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课程范围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课程发布平台为全国性公开课程平台，且面向高校和社会学习者开放。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课程发布平台为公开课程平台，且面向高校和社会学习者开放。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课程发布平台为面向校内学生的公开课程平台。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川北医学院虚拟仿真实验课程评价补充指标体系（2022年修订版）</w:t>
      </w:r>
    </w:p>
    <w:tbl>
      <w:tblPr>
        <w:tblStyle w:val="5"/>
        <w:tblW w:w="1546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95"/>
        <w:gridCol w:w="870"/>
        <w:gridCol w:w="3459"/>
        <w:gridCol w:w="4086"/>
        <w:gridCol w:w="3045"/>
        <w:gridCol w:w="1050"/>
        <w:gridCol w:w="6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特色项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</w:t>
            </w:r>
          </w:p>
        </w:tc>
        <w:tc>
          <w:tcPr>
            <w:tcW w:w="116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评价内容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一级指标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二级指标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A级</w:t>
            </w:r>
            <w:r>
              <w:rPr>
                <w:rFonts w:hint="eastAsia"/>
                <w:color w:val="000000"/>
              </w:rPr>
              <w:t>（系数=1.0）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B级</w:t>
            </w:r>
            <w:r>
              <w:rPr>
                <w:rFonts w:hint="eastAsia"/>
                <w:color w:val="000000"/>
              </w:rPr>
              <w:t>（系数=0.8）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C级</w:t>
            </w:r>
            <w:r>
              <w:rPr>
                <w:rFonts w:hint="eastAsia"/>
                <w:color w:val="000000"/>
              </w:rPr>
              <w:t>（系数=0.6）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D级</w:t>
            </w:r>
            <w:r>
              <w:rPr>
                <w:rFonts w:hint="eastAsia"/>
                <w:color w:val="000000"/>
              </w:rPr>
              <w:t>（系数=0）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院系自评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教学内涵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科学规律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课程遵循科学规律，遵循探究原则和体验式原则。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课程较为遵循科学规律，较为遵循探究原则和体验式原则。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课程相对遵循科学规律。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发现学习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课程旨在增强学生“发现学习”能力，提高学生信息获取能力。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课程旨在增强学生“发现学习”能力。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课程旨在提高学生信息获取能力。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体验式学习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加强学生“体验式学习”能力，提高学生实践和探究事物的能力。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加强学生实践和探究事物的能力。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注重学生学习体验过程。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教学设计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知识库成分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课程由经验丰富的教育者结合教学计划、教学目标和教学内容设置完成，其知识、技能精炼、系统。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课程由经验丰富的教育者结合教学计划、教学目标和教学内容设置完成。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课程能结合教学计划、教学目标和教学内容。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课程内容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课程能再现现实环境，并能对课程内容高度加工和抽象化。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课程能再现现实环境，并能对课程内容加工和抽象化。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课程内容有加工，能抽象化。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课程设置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课程设置有各种参数变量，能通过对不同参数条件下计算机模拟结果的观察、总结和归纳，学习到预先设计好的知识技能体系。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课程设置有各种参数变量，能学习到预先设计好的知识技能体系。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课程设置有各种参数变量。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教学技术手段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课程有静态模型、虚拟动画、仿真软件和软硬件交互程序等教学技术手段。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课程有静态模型、虚拟动画、仿真软件和软硬件交互程序中的3种教学技术手段。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课程有静态模型、虚拟动画、仿真软件和软硬件交互程序中的2种教学技术手段。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教学效果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学生学习效果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学生能够以身临其境的方式体验到栩栩如生、活学活用的知识技能。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学生能够体验到栩栩如生、活学活用的知识技能。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学生能够学到相关的知识技能。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学生学习手段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能培养学生自主性和多样性的学习，能激发学生探究科学规律的好奇心和兴趣，增强对知识体系的理解程度。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能激发学生探究科学规律的好奇心和兴趣，增强对知识体系的理解程度。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能增强对知识体系的理解程度。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成本、资源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课程的设计与开发能着力解决真实实验条件不具备或实际运行困难，涉及高危或极端环境，高成本、高消耗、不可逆操作、大型综合训练等问题。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课程的设计与开发能解决真实实验条件不具备或实际运行困难，涉及高危或极端环境，高成本、高消耗、不可逆操作、大型综合训练等问题。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课程的设计与开发能节约时间成本。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川北医学院社会实践课程评价补充指标体系（2022年修订版）</w:t>
      </w:r>
    </w:p>
    <w:tbl>
      <w:tblPr>
        <w:tblStyle w:val="5"/>
        <w:tblW w:w="15255" w:type="dxa"/>
        <w:tblInd w:w="-5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20"/>
        <w:gridCol w:w="825"/>
        <w:gridCol w:w="3435"/>
        <w:gridCol w:w="3540"/>
        <w:gridCol w:w="3255"/>
        <w:gridCol w:w="1095"/>
        <w:gridCol w:w="82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特色项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</w:t>
            </w:r>
          </w:p>
        </w:tc>
        <w:tc>
          <w:tcPr>
            <w:tcW w:w="1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评价内容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一级指标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二级指标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A级</w:t>
            </w:r>
            <w:r>
              <w:rPr>
                <w:rFonts w:hint="eastAsia"/>
                <w:color w:val="000000"/>
              </w:rPr>
              <w:t>（系数=1.0）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B级</w:t>
            </w:r>
            <w:r>
              <w:rPr>
                <w:rFonts w:hint="eastAsia"/>
                <w:color w:val="000000"/>
              </w:rPr>
              <w:t>（系数=0.8）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C级</w:t>
            </w:r>
            <w:r>
              <w:rPr>
                <w:rFonts w:hint="eastAsia"/>
                <w:color w:val="000000"/>
              </w:rPr>
              <w:t>（系数=0.6）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D级</w:t>
            </w:r>
            <w:r>
              <w:rPr>
                <w:rFonts w:hint="eastAsia"/>
                <w:color w:val="000000"/>
              </w:rPr>
              <w:t>（系数=0）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院系自评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培养体系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目标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课程能很好地培养学生的综合能力；能培养学生认识社会、研究社会、理解社会、服务社会的意识和能力；能培养学生科学思维和创新能力。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课程能较好地培养学生的综合能力；能培养学生认识社会、研究社会、理解社会、服务社会的意识和能力；能培养学生科学思维和创新能力。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课程能培养学生的综合能力；能培养学生认识社会、研究社会、理解社会、服务社会的意识和能力；能培养学生科学思维和创新能力。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方式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以多种形式开展课程（如创新创业大赛、社会实践、理论课、演讲讲座等）教育方式≥4种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教育方式≥3种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教育方式≥2种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路径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以思想政治教育、专业教育、比赛培训和社会服务等为抓手，相互融合、综合施教，扎实开展课程。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以思想政治教育、专业教育、比赛培训和社会服务等为抓手，相互融合、综合施教，较好开展课程。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有序开展课程。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校内外资源开发与利用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校内外资源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建立有校内外高质量的课程实践资源、基地等。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建立有校内外课程实践资源、基地等。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建立有校内课程实践资源、基地等。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过程指导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在社会实践过程中的组织、规划、管理、指导等方面实效显著，学生学习效果明显。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在社会实践过程中的组织、规划、管理、指导等方面实效较好，学生学习效果较好。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在社会实践过程中的组织、规划、管理、指导等方面实效一般，学生学习效果一般。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资源利用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充分利用学校资源、在线课程资源和社会资源等开展课程。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课程利用有学校资源、在线课程资源和社会资源等开展课程。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有在线课程资源。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课程开发能激发学生兴趣，紧扣社会、生活、学科、创新、科学和国家主旋律。学生深入基层学时≥70%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课程开发能激发学生兴趣，紧扣社会、生活、学科、创新、科学和国家主旋律。学生深入基层学时≥50%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课程开发能激发学生兴趣，紧扣社会、生活、学科、创新、科学和国家主旋律。学生深入基层学时≥30%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实施成效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课程持续完善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课程能不断生成新的实践主题，能与社会、生活、学科、创新、科学和国家主旋律有机融合。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课程能不断生成新的实践主题，能与社会、生活、学科、创新、科学和国家主旋律融合。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课程的实践主题有更新。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社会反响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能达到课程的目标要求，得到家长、社会的广泛认同和支持。课程促进了学生的成长成才，推动了学校的教育教学改革，带来了一定的社会效应。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能达到课程的目标要求，得到家长、社会的广泛认同和支持。课程促进了学生的成长成才，推动了学校的教育教学改革。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能达到课程的目标要求，得到家长、社会的认同和支持。课程促进了学生的成长成才。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课程成果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课程开展有特色、有创新、有实效，能形成良好的学校文化氛围和研究成果（年均≥1篇教研论文），且学生也有相应的学习成果（论文、调研报告、活动总结等）。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课程开展有特色、有创新、有实效，能形成良好的学校文化氛围和研究成果（年均≥1篇教研论文）。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课程开展有特色、有创新、有实效，能形成良好的学校文化氛围。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川北医学院线上线下混合式课程评价补充指标体系（2022年修订版）</w:t>
      </w:r>
    </w:p>
    <w:tbl>
      <w:tblPr>
        <w:tblStyle w:val="5"/>
        <w:tblW w:w="15255" w:type="dxa"/>
        <w:tblInd w:w="-5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20"/>
        <w:gridCol w:w="825"/>
        <w:gridCol w:w="3435"/>
        <w:gridCol w:w="3540"/>
        <w:gridCol w:w="3255"/>
        <w:gridCol w:w="1095"/>
        <w:gridCol w:w="82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特色项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</w:t>
            </w:r>
          </w:p>
        </w:tc>
        <w:tc>
          <w:tcPr>
            <w:tcW w:w="1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评价内容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一级指标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二级指标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A级</w:t>
            </w:r>
            <w:r>
              <w:rPr>
                <w:rFonts w:hint="eastAsia"/>
                <w:color w:val="000000"/>
              </w:rPr>
              <w:t>（系数=1.0）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B级</w:t>
            </w:r>
            <w:r>
              <w:rPr>
                <w:rFonts w:hint="eastAsia"/>
                <w:color w:val="000000"/>
              </w:rPr>
              <w:t>（系数=0.8）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C级</w:t>
            </w:r>
            <w:r>
              <w:rPr>
                <w:rFonts w:hint="eastAsia"/>
                <w:color w:val="000000"/>
              </w:rPr>
              <w:t>（系数=0.6）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D级</w:t>
            </w:r>
            <w:r>
              <w:rPr>
                <w:rFonts w:hint="eastAsia"/>
                <w:color w:val="000000"/>
              </w:rPr>
              <w:t>（系数=0）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院系自评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课程培养体系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课程资源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课程自建有线上资源，能与线下资源有机融合。线上线下资源各</w:t>
            </w:r>
            <w:r>
              <w:rPr>
                <w:rFonts w:ascii="宋体" w:hAnsi="宋体" w:cs="宋体"/>
                <w:color w:val="000000"/>
              </w:rPr>
              <w:t>模块</w:t>
            </w:r>
            <w:r>
              <w:rPr>
                <w:rFonts w:hint="eastAsia" w:ascii="宋体" w:hAnsi="宋体" w:cs="宋体"/>
                <w:color w:val="000000"/>
              </w:rPr>
              <w:t>内容</w:t>
            </w:r>
            <w:r>
              <w:rPr>
                <w:rFonts w:ascii="宋体" w:hAnsi="宋体" w:cs="宋体"/>
                <w:color w:val="000000"/>
              </w:rPr>
              <w:t>之间的</w:t>
            </w:r>
            <w:r>
              <w:rPr>
                <w:rFonts w:hint="eastAsia" w:ascii="宋体" w:hAnsi="宋体" w:cs="宋体"/>
                <w:color w:val="000000"/>
              </w:rPr>
              <w:t>关联紧密、</w:t>
            </w:r>
            <w:r>
              <w:rPr>
                <w:rFonts w:ascii="宋体" w:hAnsi="宋体" w:cs="宋体"/>
                <w:color w:val="000000"/>
              </w:rPr>
              <w:t>合理</w:t>
            </w:r>
            <w:r>
              <w:rPr>
                <w:rFonts w:hint="eastAsia" w:ascii="宋体" w:hAnsi="宋体" w:cs="宋体"/>
                <w:color w:val="000000"/>
              </w:rPr>
              <w:t>有序，</w:t>
            </w:r>
            <w:r>
              <w:rPr>
                <w:rFonts w:ascii="宋体" w:hAnsi="宋体" w:cs="宋体"/>
                <w:color w:val="000000"/>
              </w:rPr>
              <w:t>课程内容重点突出、层次分明、详略得当。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课程引进有线上资源，能与线下资源有机融合。线上线下资源各</w:t>
            </w:r>
            <w:r>
              <w:rPr>
                <w:rFonts w:ascii="宋体" w:hAnsi="宋体" w:cs="宋体"/>
                <w:color w:val="000000"/>
              </w:rPr>
              <w:t>模块</w:t>
            </w:r>
            <w:r>
              <w:rPr>
                <w:rFonts w:hint="eastAsia" w:ascii="宋体" w:hAnsi="宋体" w:cs="宋体"/>
                <w:color w:val="000000"/>
              </w:rPr>
              <w:t>内容</w:t>
            </w:r>
            <w:r>
              <w:rPr>
                <w:rFonts w:ascii="宋体" w:hAnsi="宋体" w:cs="宋体"/>
                <w:color w:val="000000"/>
              </w:rPr>
              <w:t>之间的</w:t>
            </w:r>
            <w:r>
              <w:rPr>
                <w:rFonts w:hint="eastAsia" w:ascii="宋体" w:hAnsi="宋体" w:cs="宋体"/>
                <w:color w:val="000000"/>
              </w:rPr>
              <w:t>关联紧密、</w:t>
            </w:r>
            <w:r>
              <w:rPr>
                <w:rFonts w:ascii="宋体" w:hAnsi="宋体" w:cs="宋体"/>
                <w:color w:val="000000"/>
              </w:rPr>
              <w:t>合理</w:t>
            </w:r>
            <w:r>
              <w:rPr>
                <w:rFonts w:hint="eastAsia" w:ascii="宋体" w:hAnsi="宋体" w:cs="宋体"/>
                <w:color w:val="000000"/>
              </w:rPr>
              <w:t>有序，</w:t>
            </w:r>
            <w:r>
              <w:rPr>
                <w:rFonts w:ascii="宋体" w:hAnsi="宋体" w:cs="宋体"/>
                <w:color w:val="000000"/>
              </w:rPr>
              <w:t>课程内容重点突出、层次分明、详略得当。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课程引进有线上资源。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培养手段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根据课程内容特点和教学目标，能灵活采用合适的学习路径，多形式表现课程内容，将自主、合作、探究三者学习方式有机结合，培养学生自主学习能力，培养学生创新意识和实践能力。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根据课程内容特点和教学目标，能灵活采用合适的学习路径，多形式表现课程内容，将自主、合作、探究三者学习方式有机结合，培养学生自主学习能力，培养学生创新意识和实践能力。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根据课程内容特点和教学目标，能灵活采用合适的学习路径，多形式表现课程内容，将自主、合作、探究三者学习方式有机结合，培养学生自主学习能力，培养学生创新意识和实践能力。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教学模式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能很好的</w:t>
            </w:r>
            <w:r>
              <w:rPr>
                <w:rFonts w:ascii="宋体" w:hAnsi="宋体" w:cs="宋体"/>
                <w:color w:val="000000"/>
              </w:rPr>
              <w:t>建立线上与线下、同步与异步、分散与集中、固定与移动相结合的泛在教学模式，适合线</w:t>
            </w:r>
            <w:r>
              <w:rPr>
                <w:rFonts w:hint="eastAsia" w:ascii="宋体" w:hAnsi="宋体" w:cs="宋体"/>
                <w:color w:val="000000"/>
              </w:rPr>
              <w:t>上</w:t>
            </w:r>
            <w:r>
              <w:rPr>
                <w:rFonts w:ascii="宋体" w:hAnsi="宋体" w:cs="宋体"/>
                <w:color w:val="000000"/>
              </w:rPr>
              <w:t>和</w:t>
            </w:r>
            <w:r>
              <w:rPr>
                <w:rFonts w:hint="eastAsia" w:ascii="宋体" w:hAnsi="宋体" w:cs="宋体"/>
                <w:color w:val="000000"/>
              </w:rPr>
              <w:t>线下混合式学习</w:t>
            </w:r>
            <w:r>
              <w:rPr>
                <w:rFonts w:ascii="宋体" w:hAnsi="宋体" w:cs="宋体"/>
                <w:color w:val="000000"/>
              </w:rPr>
              <w:t>，构建教与学新型关系。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能较好的</w:t>
            </w:r>
            <w:r>
              <w:rPr>
                <w:rFonts w:ascii="宋体" w:hAnsi="宋体" w:cs="宋体"/>
                <w:color w:val="000000"/>
              </w:rPr>
              <w:t>建立线上与线下、同步与异步、分散与集中、固定与移动相结合的泛在教学模式，适合线</w:t>
            </w:r>
            <w:r>
              <w:rPr>
                <w:rFonts w:hint="eastAsia" w:ascii="宋体" w:hAnsi="宋体" w:cs="宋体"/>
                <w:color w:val="000000"/>
              </w:rPr>
              <w:t>上</w:t>
            </w:r>
            <w:r>
              <w:rPr>
                <w:rFonts w:ascii="宋体" w:hAnsi="宋体" w:cs="宋体"/>
                <w:color w:val="000000"/>
              </w:rPr>
              <w:t>和</w:t>
            </w:r>
            <w:r>
              <w:rPr>
                <w:rFonts w:hint="eastAsia" w:ascii="宋体" w:hAnsi="宋体" w:cs="宋体"/>
                <w:color w:val="000000"/>
              </w:rPr>
              <w:t>线下混合式学习</w:t>
            </w:r>
            <w:r>
              <w:rPr>
                <w:rFonts w:ascii="宋体" w:hAnsi="宋体" w:cs="宋体"/>
                <w:color w:val="000000"/>
              </w:rPr>
              <w:t>，构建教与学新型关系。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初步</w:t>
            </w:r>
            <w:r>
              <w:rPr>
                <w:rFonts w:ascii="宋体" w:hAnsi="宋体" w:cs="宋体"/>
                <w:color w:val="000000"/>
              </w:rPr>
              <w:t>建立线上与线下、同步与异步、分散与集中、固定与移动相结合的泛在教学模式。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学时分配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理论课时线上教学40-50%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理论课时线上教学30-40%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理论课时线上教学20-30%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教学设计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实施以学生为中心的课程线上和线下混合教学组织新模式，将线上、线下深度融合，教学思路清晰，紧扣教学目标。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实施以学生为中心的课程线上和线下混合教学，有线上、线下融合，教学思路较清晰，能较好的紧扣教学目标。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实施线上和线下混合教学。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课程辅导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能很好地为学生及时提供在线学习过程中的帮助和指导，提供线上答疑，作业批改等学习支持服务，帮助学生能顺利达成学习目标。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能较好为学生提供在线学习过程中的帮助和指导，提供线上答疑，作业批改等学习支持服务，帮助学生能顺利达成学习目标。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为学生学业提供有帮助。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教学设计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充分利用线上线下混合教学模式，对教学活动进行专题设计，提高学习质量，体现课程特色。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利用线上线下混合教学模式，对教学活动进行专题设计，提高学习质量，体现课程特色。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有教学活动进行的专题设计。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信息安全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信息安全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效果及影响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课程影响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课程特色鲜明，效果突出，推广性强。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课程特色较鲜明，效果较突出，有推广性价值。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课程有特色，有效果。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课程效果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学生自主学习能力得到加强，学习效果佳，学生反响好。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学生自主学习能力得到加强，学习效果较好，学生反响较好。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学生自主学习能力得到加强。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NzFjMGE5MmVjZjNlN2VjYzMzZGM3YWExYjM5MzcifQ=="/>
  </w:docVars>
  <w:rsids>
    <w:rsidRoot w:val="2D7A6E3A"/>
    <w:rsid w:val="07DF75F9"/>
    <w:rsid w:val="2D7A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line="432" w:lineRule="auto"/>
      <w:jc w:val="left"/>
    </w:pPr>
    <w:rPr>
      <w:rFonts w:ascii="微软雅黑" w:hAnsi="微软雅黑" w:eastAsia="微软雅黑"/>
      <w:color w:val="333333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2023-12-14T04:13:00Z</dcterms:created>
  <dc:creator>旅行箱和梦想</dc:creator>
  <cp:lastModifiedBy>旅行箱和梦想</cp:lastModifiedBy>
  <dcterms:modified xsi:type="dcterms:W3CDTF">2023-12-14T04:17:11Z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CCDAE79533AE4AA684A10146AB0D1A1D_13</vt:lpwstr>
  </property>
</Properties>
</file>