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eastAsia="方正小标宋简体"/>
          <w:bCs/>
          <w:sz w:val="52"/>
          <w:szCs w:val="52"/>
        </w:rPr>
      </w:pPr>
    </w:p>
    <w:p>
      <w:pPr>
        <w:spacing w:after="156" w:afterLines="50" w:line="560" w:lineRule="exact"/>
        <w:jc w:val="center"/>
        <w:rPr>
          <w:rFonts w:eastAsia="方正小标宋简体"/>
          <w:b/>
          <w:bCs/>
          <w:sz w:val="52"/>
          <w:szCs w:val="52"/>
        </w:rPr>
      </w:pPr>
      <w:r>
        <w:rPr>
          <w:rFonts w:eastAsia="方正小标宋简体"/>
          <w:b/>
          <w:bCs/>
          <w:sz w:val="52"/>
          <w:szCs w:val="52"/>
        </w:rPr>
        <w:t>学位授权点</w:t>
      </w:r>
      <w:r>
        <w:rPr>
          <w:rFonts w:hint="eastAsia" w:eastAsia="方正小标宋简体"/>
          <w:b/>
          <w:bCs/>
          <w:sz w:val="52"/>
          <w:szCs w:val="52"/>
        </w:rPr>
        <w:t>建设年度</w:t>
      </w:r>
      <w:r>
        <w:rPr>
          <w:rFonts w:eastAsia="方正小标宋简体"/>
          <w:b/>
          <w:bCs/>
          <w:sz w:val="52"/>
          <w:szCs w:val="52"/>
        </w:rPr>
        <w:t>报告</w:t>
      </w:r>
    </w:p>
    <w:p>
      <w:pPr>
        <w:spacing w:after="156" w:afterLines="50" w:line="560" w:lineRule="exact"/>
        <w:jc w:val="center"/>
        <w:rPr>
          <w:rFonts w:eastAsia="方正小标宋简体"/>
          <w:b/>
          <w:bCs/>
          <w:sz w:val="44"/>
          <w:szCs w:val="52"/>
        </w:rPr>
      </w:pPr>
      <w:r>
        <w:rPr>
          <w:rFonts w:hint="eastAsia" w:eastAsia="方正小标宋简体"/>
          <w:b/>
          <w:bCs/>
          <w:sz w:val="44"/>
          <w:szCs w:val="52"/>
        </w:rPr>
        <w:t>（2020年度）</w:t>
      </w:r>
    </w:p>
    <w:p>
      <w:pPr>
        <w:spacing w:line="360" w:lineRule="auto"/>
        <w:jc w:val="center"/>
        <w:rPr>
          <w:rFonts w:ascii="仿宋" w:hAnsi="仿宋" w:eastAsia="仿宋"/>
          <w:bCs/>
          <w:sz w:val="36"/>
        </w:rPr>
      </w:pPr>
    </w:p>
    <w:p>
      <w:pPr>
        <w:spacing w:line="360" w:lineRule="auto"/>
        <w:jc w:val="center"/>
        <w:rPr>
          <w:rFonts w:ascii="仿宋" w:hAnsi="仿宋" w:eastAsia="仿宋"/>
          <w:bCs/>
          <w:sz w:val="36"/>
        </w:rPr>
      </w:pPr>
    </w:p>
    <w:tbl>
      <w:tblPr>
        <w:tblStyle w:val="7"/>
        <w:tblW w:w="5687"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38"/>
        <w:gridCol w:w="3249"/>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94" w:hRule="atLeast"/>
        </w:trPr>
        <w:tc>
          <w:tcPr>
            <w:tcW w:w="2438" w:type="dxa"/>
            <w:vMerge w:val="restart"/>
            <w:vAlign w:val="center"/>
          </w:tcPr>
          <w:p>
            <w:pPr>
              <w:spacing w:line="200" w:lineRule="atLeast"/>
              <w:jc w:val="distribute"/>
              <w:rPr>
                <w:rFonts w:eastAsia="楷体_GB2312"/>
                <w:b/>
                <w:bCs/>
                <w:kern w:val="0"/>
                <w:sz w:val="36"/>
                <w:szCs w:val="30"/>
              </w:rPr>
            </w:pPr>
            <w:r>
              <w:rPr>
                <w:rFonts w:eastAsia="楷体_GB2312"/>
                <w:b/>
                <w:bCs/>
                <w:kern w:val="0"/>
                <w:sz w:val="36"/>
                <w:szCs w:val="30"/>
              </w:rPr>
              <w:t>学位授予单位</w:t>
            </w:r>
          </w:p>
        </w:tc>
        <w:tc>
          <w:tcPr>
            <w:tcW w:w="3249" w:type="dxa"/>
            <w:tcBorders>
              <w:bottom w:val="single" w:color="auto" w:sz="4" w:space="0"/>
            </w:tcBorders>
            <w:vAlign w:val="center"/>
          </w:tcPr>
          <w:p>
            <w:pPr>
              <w:rPr>
                <w:rFonts w:eastAsia="楷体_GB2312"/>
                <w:b/>
                <w:bCs/>
                <w:kern w:val="0"/>
                <w:sz w:val="36"/>
                <w:szCs w:val="30"/>
              </w:rPr>
            </w:pPr>
            <w:r>
              <w:rPr>
                <w:rFonts w:eastAsia="楷体_GB2312"/>
                <w:b/>
                <w:bCs/>
                <w:kern w:val="0"/>
                <w:sz w:val="36"/>
                <w:szCs w:val="30"/>
              </w:rPr>
              <w:t xml:space="preserve">名称：川北医学院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2" w:hRule="atLeast"/>
        </w:trPr>
        <w:tc>
          <w:tcPr>
            <w:tcW w:w="2438" w:type="dxa"/>
            <w:vMerge w:val="continue"/>
          </w:tcPr>
          <w:p>
            <w:pPr>
              <w:jc w:val="center"/>
              <w:rPr>
                <w:rFonts w:eastAsia="楷体_GB2312"/>
                <w:b/>
                <w:bCs/>
                <w:kern w:val="0"/>
                <w:sz w:val="36"/>
                <w:szCs w:val="30"/>
              </w:rPr>
            </w:pPr>
          </w:p>
        </w:tc>
        <w:tc>
          <w:tcPr>
            <w:tcW w:w="3249" w:type="dxa"/>
            <w:tcBorders>
              <w:top w:val="single" w:color="auto" w:sz="4" w:space="0"/>
            </w:tcBorders>
            <w:vAlign w:val="center"/>
          </w:tcPr>
          <w:p>
            <w:pPr>
              <w:rPr>
                <w:rFonts w:eastAsia="楷体_GB2312"/>
                <w:b/>
                <w:bCs/>
                <w:kern w:val="0"/>
                <w:sz w:val="36"/>
                <w:szCs w:val="30"/>
              </w:rPr>
            </w:pPr>
            <w:r>
              <w:rPr>
                <w:rFonts w:eastAsia="楷体_GB2312"/>
                <w:b/>
                <w:bCs/>
                <w:kern w:val="0"/>
                <w:sz w:val="36"/>
                <w:szCs w:val="30"/>
              </w:rPr>
              <w:t>代码：</w:t>
            </w:r>
            <w:r>
              <w:rPr>
                <w:rFonts w:hint="eastAsia" w:eastAsia="楷体_GB2312"/>
                <w:b/>
                <w:bCs/>
                <w:kern w:val="0"/>
                <w:sz w:val="36"/>
                <w:szCs w:val="30"/>
              </w:rPr>
              <w:t>10634</w:t>
            </w:r>
          </w:p>
        </w:tc>
      </w:tr>
    </w:tbl>
    <w:p>
      <w:pPr>
        <w:spacing w:line="360" w:lineRule="auto"/>
        <w:jc w:val="center"/>
        <w:rPr>
          <w:rFonts w:ascii="仿宋" w:hAnsi="仿宋" w:eastAsia="仿宋"/>
          <w:b/>
          <w:bCs/>
          <w:sz w:val="36"/>
        </w:rPr>
      </w:pPr>
    </w:p>
    <w:p>
      <w:pPr>
        <w:spacing w:line="360" w:lineRule="auto"/>
        <w:jc w:val="center"/>
        <w:rPr>
          <w:rFonts w:ascii="仿宋" w:hAnsi="仿宋" w:eastAsia="仿宋"/>
          <w:b/>
          <w:bCs/>
          <w:sz w:val="36"/>
        </w:rPr>
      </w:pPr>
    </w:p>
    <w:tbl>
      <w:tblPr>
        <w:tblStyle w:val="7"/>
        <w:tblW w:w="5732"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56"/>
        <w:gridCol w:w="3276"/>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7" w:hRule="atLeast"/>
        </w:trPr>
        <w:tc>
          <w:tcPr>
            <w:tcW w:w="2456" w:type="dxa"/>
            <w:vMerge w:val="restart"/>
            <w:vAlign w:val="center"/>
          </w:tcPr>
          <w:p>
            <w:pPr>
              <w:jc w:val="distribute"/>
              <w:rPr>
                <w:rFonts w:eastAsia="楷体_GB2312"/>
                <w:b/>
                <w:bCs/>
                <w:kern w:val="0"/>
                <w:sz w:val="36"/>
                <w:szCs w:val="30"/>
              </w:rPr>
            </w:pPr>
            <w:r>
              <w:rPr>
                <w:rFonts w:eastAsia="楷体_GB2312"/>
                <w:b/>
                <w:bCs/>
                <w:kern w:val="0"/>
                <w:sz w:val="36"/>
                <w:szCs w:val="30"/>
              </w:rPr>
              <w:t>授权学科</w:t>
            </w:r>
          </w:p>
          <w:p>
            <w:pPr>
              <w:jc w:val="distribute"/>
              <w:rPr>
                <w:rFonts w:eastAsia="楷体_GB2312"/>
                <w:b/>
                <w:bCs/>
                <w:kern w:val="0"/>
                <w:sz w:val="36"/>
                <w:szCs w:val="30"/>
              </w:rPr>
            </w:pPr>
            <w:r>
              <w:rPr>
                <w:rFonts w:eastAsia="楷体_GB2312"/>
                <w:b/>
                <w:bCs/>
                <w:kern w:val="0"/>
                <w:sz w:val="36"/>
                <w:szCs w:val="30"/>
              </w:rPr>
              <w:t>（类别）</w:t>
            </w:r>
          </w:p>
        </w:tc>
        <w:tc>
          <w:tcPr>
            <w:tcW w:w="3276" w:type="dxa"/>
            <w:tcBorders>
              <w:bottom w:val="single" w:color="auto" w:sz="4" w:space="0"/>
            </w:tcBorders>
            <w:vAlign w:val="center"/>
          </w:tcPr>
          <w:p>
            <w:pPr>
              <w:rPr>
                <w:rFonts w:eastAsia="楷体_GB2312"/>
                <w:b/>
                <w:bCs/>
                <w:kern w:val="0"/>
                <w:sz w:val="36"/>
                <w:szCs w:val="30"/>
              </w:rPr>
            </w:pPr>
            <w:r>
              <w:rPr>
                <w:rFonts w:eastAsia="楷体_GB2312"/>
                <w:b/>
                <w:bCs/>
                <w:kern w:val="0"/>
                <w:sz w:val="36"/>
                <w:szCs w:val="30"/>
              </w:rPr>
              <w:t>名称：</w:t>
            </w:r>
            <w:r>
              <w:rPr>
                <w:rFonts w:hint="eastAsia" w:eastAsia="楷体_GB2312"/>
                <w:b/>
                <w:bCs/>
                <w:kern w:val="0"/>
                <w:sz w:val="36"/>
                <w:szCs w:val="30"/>
              </w:rPr>
              <w:t>护理</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2" w:hRule="atLeast"/>
        </w:trPr>
        <w:tc>
          <w:tcPr>
            <w:tcW w:w="2456" w:type="dxa"/>
            <w:vMerge w:val="continue"/>
          </w:tcPr>
          <w:p>
            <w:pPr>
              <w:jc w:val="center"/>
              <w:rPr>
                <w:rFonts w:eastAsia="楷体_GB2312"/>
                <w:b/>
                <w:bCs/>
                <w:kern w:val="0"/>
                <w:sz w:val="36"/>
                <w:szCs w:val="30"/>
              </w:rPr>
            </w:pPr>
          </w:p>
        </w:tc>
        <w:tc>
          <w:tcPr>
            <w:tcW w:w="3276" w:type="dxa"/>
            <w:tcBorders>
              <w:top w:val="single" w:color="auto" w:sz="4" w:space="0"/>
            </w:tcBorders>
            <w:vAlign w:val="center"/>
          </w:tcPr>
          <w:p>
            <w:pPr>
              <w:rPr>
                <w:rFonts w:eastAsia="楷体_GB2312"/>
                <w:b/>
                <w:bCs/>
                <w:kern w:val="0"/>
                <w:sz w:val="36"/>
                <w:szCs w:val="30"/>
              </w:rPr>
            </w:pPr>
            <w:r>
              <w:rPr>
                <w:rFonts w:eastAsia="楷体_GB2312"/>
                <w:b/>
                <w:bCs/>
                <w:kern w:val="0"/>
                <w:sz w:val="36"/>
                <w:szCs w:val="30"/>
              </w:rPr>
              <w:t>代码：</w:t>
            </w:r>
            <w:r>
              <w:rPr>
                <w:rFonts w:hint="eastAsia" w:eastAsia="楷体_GB2312"/>
                <w:b/>
                <w:bCs/>
                <w:kern w:val="0"/>
                <w:sz w:val="36"/>
                <w:szCs w:val="30"/>
              </w:rPr>
              <w:t>1054</w:t>
            </w:r>
          </w:p>
        </w:tc>
      </w:tr>
    </w:tbl>
    <w:p>
      <w:pPr>
        <w:spacing w:line="360" w:lineRule="auto"/>
        <w:jc w:val="center"/>
        <w:rPr>
          <w:rFonts w:ascii="仿宋" w:hAnsi="仿宋" w:eastAsia="仿宋"/>
          <w:b/>
          <w:bCs/>
          <w:sz w:val="36"/>
        </w:rPr>
      </w:pPr>
    </w:p>
    <w:p>
      <w:pPr>
        <w:spacing w:line="360" w:lineRule="auto"/>
        <w:jc w:val="center"/>
        <w:rPr>
          <w:rFonts w:ascii="仿宋" w:hAnsi="仿宋" w:eastAsia="仿宋"/>
          <w:b/>
          <w:bCs/>
          <w:sz w:val="36"/>
        </w:rPr>
      </w:pPr>
    </w:p>
    <w:tbl>
      <w:tblPr>
        <w:tblStyle w:val="7"/>
        <w:tblW w:w="5763"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70"/>
        <w:gridCol w:w="329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5" w:hRule="atLeast"/>
        </w:trPr>
        <w:tc>
          <w:tcPr>
            <w:tcW w:w="2470" w:type="dxa"/>
            <w:vMerge w:val="restart"/>
            <w:vAlign w:val="center"/>
          </w:tcPr>
          <w:p>
            <w:pPr>
              <w:jc w:val="distribute"/>
              <w:rPr>
                <w:rFonts w:eastAsia="楷体_GB2312"/>
                <w:b/>
                <w:bCs/>
                <w:kern w:val="0"/>
                <w:sz w:val="36"/>
                <w:szCs w:val="30"/>
              </w:rPr>
            </w:pPr>
            <w:r>
              <w:rPr>
                <w:rFonts w:eastAsia="楷体_GB2312"/>
                <w:b/>
                <w:bCs/>
                <w:kern w:val="0"/>
                <w:sz w:val="36"/>
                <w:szCs w:val="30"/>
              </w:rPr>
              <w:t>授权级别</w:t>
            </w:r>
          </w:p>
        </w:tc>
        <w:tc>
          <w:tcPr>
            <w:tcW w:w="3293" w:type="dxa"/>
            <w:tcBorders>
              <w:bottom w:val="single" w:color="auto" w:sz="4" w:space="0"/>
            </w:tcBorders>
            <w:vAlign w:val="center"/>
          </w:tcPr>
          <w:p>
            <w:pPr>
              <w:rPr>
                <w:rFonts w:eastAsia="楷体_GB2312"/>
                <w:b/>
                <w:bCs/>
                <w:kern w:val="0"/>
                <w:sz w:val="36"/>
                <w:szCs w:val="30"/>
              </w:rPr>
            </w:pPr>
            <w:r>
              <w:rPr>
                <w:rFonts w:eastAsia="楷体_GB2312"/>
                <w:b/>
                <w:bCs/>
                <w:kern w:val="0"/>
                <w:sz w:val="36"/>
                <w:szCs w:val="30"/>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6" w:hRule="atLeast"/>
        </w:trPr>
        <w:tc>
          <w:tcPr>
            <w:tcW w:w="2470" w:type="dxa"/>
            <w:vMerge w:val="continue"/>
          </w:tcPr>
          <w:p>
            <w:pPr>
              <w:jc w:val="center"/>
              <w:rPr>
                <w:rFonts w:eastAsia="楷体_GB2312"/>
                <w:b/>
                <w:bCs/>
                <w:kern w:val="0"/>
                <w:sz w:val="36"/>
                <w:szCs w:val="30"/>
              </w:rPr>
            </w:pPr>
          </w:p>
        </w:tc>
        <w:tc>
          <w:tcPr>
            <w:tcW w:w="3293" w:type="dxa"/>
            <w:tcBorders>
              <w:top w:val="single" w:color="auto" w:sz="4" w:space="0"/>
            </w:tcBorders>
            <w:vAlign w:val="center"/>
          </w:tcPr>
          <w:p>
            <w:pPr>
              <w:rPr>
                <w:rFonts w:eastAsia="楷体_GB2312"/>
                <w:b/>
                <w:bCs/>
                <w:kern w:val="0"/>
                <w:sz w:val="36"/>
                <w:szCs w:val="30"/>
              </w:rPr>
            </w:pPr>
            <w:r>
              <w:rPr>
                <w:rFonts w:eastAsia="楷体_GB2312"/>
                <w:b/>
                <w:bCs/>
                <w:kern w:val="0"/>
                <w:sz w:val="36"/>
                <w:szCs w:val="30"/>
              </w:rPr>
              <w:sym w:font="Wingdings 2" w:char="0052"/>
            </w:r>
            <w:r>
              <w:rPr>
                <w:rFonts w:eastAsia="楷体_GB2312"/>
                <w:b/>
                <w:bCs/>
                <w:kern w:val="0"/>
                <w:sz w:val="36"/>
                <w:szCs w:val="30"/>
              </w:rPr>
              <w:t xml:space="preserve">  硕  士</w:t>
            </w:r>
          </w:p>
        </w:tc>
      </w:tr>
    </w:tbl>
    <w:p>
      <w:pPr>
        <w:spacing w:line="360" w:lineRule="auto"/>
        <w:jc w:val="center"/>
        <w:rPr>
          <w:rFonts w:ascii="仿宋" w:hAnsi="仿宋" w:eastAsia="仿宋"/>
          <w:b/>
          <w:bCs/>
          <w:sz w:val="36"/>
        </w:rPr>
      </w:pPr>
    </w:p>
    <w:p>
      <w:pPr>
        <w:spacing w:line="360" w:lineRule="auto"/>
        <w:rPr>
          <w:rFonts w:ascii="仿宋" w:hAnsi="仿宋" w:eastAsia="仿宋"/>
          <w:b/>
          <w:bCs/>
          <w:sz w:val="36"/>
        </w:rPr>
      </w:pPr>
    </w:p>
    <w:p>
      <w:pPr>
        <w:spacing w:line="360" w:lineRule="auto"/>
        <w:jc w:val="center"/>
        <w:rPr>
          <w:rFonts w:ascii="楷体" w:hAnsi="楷体" w:eastAsia="楷体"/>
          <w:b/>
          <w:bCs/>
          <w:sz w:val="36"/>
        </w:rPr>
      </w:pPr>
    </w:p>
    <w:p>
      <w:pPr>
        <w:spacing w:line="360" w:lineRule="auto"/>
        <w:jc w:val="center"/>
        <w:rPr>
          <w:rFonts w:ascii="楷体" w:hAnsi="楷体" w:eastAsia="楷体"/>
          <w:bCs/>
          <w:sz w:val="36"/>
        </w:rPr>
      </w:pPr>
      <w:r>
        <w:rPr>
          <w:rFonts w:hint="eastAsia" w:ascii="楷体" w:hAnsi="楷体" w:eastAsia="楷体"/>
          <w:b/>
          <w:bCs/>
          <w:sz w:val="36"/>
        </w:rPr>
        <w:t xml:space="preserve">2021年 4月 5日 </w:t>
      </w:r>
    </w:p>
    <w:p>
      <w:pPr>
        <w:spacing w:line="360" w:lineRule="auto"/>
        <w:jc w:val="center"/>
        <w:rPr>
          <w:rFonts w:hint="eastAsia" w:ascii="仿宋" w:hAnsi="仿宋" w:eastAsia="仿宋"/>
          <w:bCs/>
          <w:sz w:val="28"/>
          <w:szCs w:val="28"/>
        </w:rPr>
      </w:pPr>
    </w:p>
    <w:p>
      <w:pPr>
        <w:spacing w:line="360" w:lineRule="auto"/>
        <w:jc w:val="center"/>
        <w:rPr>
          <w:rFonts w:ascii="黑体" w:hAnsi="黑体" w:eastAsia="黑体"/>
          <w:b/>
          <w:bCs/>
          <w:sz w:val="28"/>
          <w:szCs w:val="28"/>
        </w:rPr>
      </w:pPr>
      <w:r>
        <w:rPr>
          <w:rFonts w:hint="eastAsia" w:ascii="黑体" w:hAnsi="黑体" w:eastAsia="黑体"/>
          <w:b/>
          <w:bCs/>
          <w:sz w:val="36"/>
          <w:szCs w:val="32"/>
        </w:rPr>
        <w:t>第一部分 学位授权点基本情况</w:t>
      </w:r>
    </w:p>
    <w:p>
      <w:pPr>
        <w:spacing w:line="360" w:lineRule="auto"/>
        <w:rPr>
          <w:rFonts w:ascii="仿宋" w:hAnsi="仿宋" w:eastAsia="仿宋"/>
          <w:b/>
          <w:bCs/>
          <w:sz w:val="28"/>
          <w:szCs w:val="28"/>
        </w:rPr>
      </w:pPr>
      <w:r>
        <w:rPr>
          <w:rFonts w:hint="eastAsia" w:ascii="仿宋" w:hAnsi="仿宋" w:eastAsia="仿宋"/>
          <w:b/>
          <w:bCs/>
          <w:sz w:val="28"/>
          <w:szCs w:val="28"/>
        </w:rPr>
        <w:t>一、目标与标准</w:t>
      </w:r>
    </w:p>
    <w:p>
      <w:pPr>
        <w:spacing w:line="360" w:lineRule="auto"/>
        <w:rPr>
          <w:rFonts w:hint="eastAsia" w:ascii="仿宋" w:hAnsi="仿宋" w:eastAsia="仿宋"/>
          <w:b/>
          <w:bCs/>
          <w:sz w:val="28"/>
          <w:szCs w:val="28"/>
        </w:rPr>
      </w:pPr>
      <w:r>
        <w:rPr>
          <w:rFonts w:hint="eastAsia" w:ascii="仿宋" w:hAnsi="仿宋" w:eastAsia="仿宋"/>
          <w:b/>
          <w:bCs/>
          <w:sz w:val="28"/>
          <w:szCs w:val="28"/>
        </w:rPr>
        <w:t>（一）培养目标</w:t>
      </w:r>
    </w:p>
    <w:p>
      <w:pPr>
        <w:keepNext w:val="0"/>
        <w:keepLines w:val="0"/>
        <w:widowControl/>
        <w:suppressLineNumbers w:val="0"/>
        <w:ind w:firstLine="560" w:firstLineChars="200"/>
        <w:jc w:val="left"/>
        <w:rPr>
          <w:rFonts w:hint="default" w:ascii="仿宋" w:hAnsi="仿宋" w:eastAsia="仿宋"/>
          <w:b/>
          <w:bCs/>
          <w:sz w:val="28"/>
          <w:szCs w:val="28"/>
          <w:lang w:val="en-US" w:eastAsia="zh-CN"/>
        </w:rPr>
      </w:pPr>
      <w:r>
        <w:rPr>
          <w:rFonts w:hint="eastAsia" w:ascii="仿宋_GB2312" w:hAnsi="仿宋_GB2312" w:eastAsia="仿宋_GB2312" w:cs="仿宋_GB2312"/>
          <w:color w:val="000000"/>
          <w:kern w:val="0"/>
          <w:sz w:val="28"/>
          <w:szCs w:val="28"/>
          <w:lang w:val="en-US" w:eastAsia="zh-CN" w:bidi="ar"/>
        </w:rPr>
        <w:t>学校是护理学术学位硕士研究生和护理专业学位硕士研究生授权点，2011年被</w:t>
      </w:r>
      <w:r>
        <w:rPr>
          <w:rFonts w:ascii="仿宋_GB2312" w:hAnsi="仿宋_GB2312" w:eastAsia="仿宋_GB2312" w:cs="仿宋_GB2312"/>
          <w:color w:val="000000"/>
          <w:kern w:val="0"/>
          <w:sz w:val="28"/>
          <w:szCs w:val="28"/>
          <w:lang w:val="en-US" w:eastAsia="zh-CN" w:bidi="ar"/>
        </w:rPr>
        <w:t>国务院学位委员会批准为</w:t>
      </w:r>
      <w:r>
        <w:rPr>
          <w:rFonts w:hint="eastAsia" w:ascii="仿宋_GB2312" w:hAnsi="仿宋_GB2312" w:eastAsia="仿宋_GB2312" w:cs="仿宋_GB2312"/>
          <w:color w:val="000000"/>
          <w:kern w:val="0"/>
          <w:sz w:val="28"/>
          <w:szCs w:val="28"/>
          <w:lang w:val="en-US" w:eastAsia="zh-CN" w:bidi="ar"/>
        </w:rPr>
        <w:t>护理学术</w:t>
      </w:r>
      <w:r>
        <w:rPr>
          <w:rFonts w:ascii="仿宋_GB2312" w:hAnsi="仿宋_GB2312" w:eastAsia="仿宋_GB2312" w:cs="仿宋_GB2312"/>
          <w:color w:val="000000"/>
          <w:kern w:val="0"/>
          <w:sz w:val="28"/>
          <w:szCs w:val="28"/>
          <w:lang w:val="en-US" w:eastAsia="zh-CN" w:bidi="ar"/>
        </w:rPr>
        <w:t>学位授予单位</w:t>
      </w:r>
      <w:r>
        <w:rPr>
          <w:rFonts w:hint="eastAsia" w:ascii="仿宋_GB2312" w:hAnsi="仿宋_GB2312" w:eastAsia="仿宋_GB2312" w:cs="仿宋_GB2312"/>
          <w:color w:val="000000"/>
          <w:kern w:val="0"/>
          <w:sz w:val="28"/>
          <w:szCs w:val="28"/>
          <w:lang w:val="en-US" w:eastAsia="zh-CN" w:bidi="ar"/>
        </w:rPr>
        <w:t>，2014年被授予专业学位硕士研究生授权点，2015年</w:t>
      </w:r>
      <w:r>
        <w:rPr>
          <w:rFonts w:hint="eastAsia" w:ascii="仿宋_GB2312" w:hAnsi="仿宋_GB2312" w:eastAsia="仿宋_GB2312" w:cs="仿宋_GB2312"/>
          <w:color w:val="000000"/>
          <w:kern w:val="0"/>
          <w:sz w:val="28"/>
          <w:szCs w:val="28"/>
          <w:lang w:val="en-US" w:eastAsia="zh-CN" w:bidi="ar"/>
        </w:rPr>
        <w:t>招收第一批护理专业学位硕士研究生。专业学位授权点建设期间于2018年接收国家</w:t>
      </w:r>
      <w:r>
        <w:rPr>
          <w:rFonts w:ascii="仿宋_GB2312" w:hAnsi="仿宋_GB2312" w:eastAsia="仿宋_GB2312" w:cs="仿宋_GB2312"/>
          <w:color w:val="000000"/>
          <w:kern w:val="0"/>
          <w:sz w:val="28"/>
          <w:szCs w:val="28"/>
          <w:lang w:val="en-US" w:eastAsia="zh-CN" w:bidi="ar"/>
        </w:rPr>
        <w:t>授权</w:t>
      </w:r>
      <w:r>
        <w:rPr>
          <w:rFonts w:hint="eastAsia" w:ascii="仿宋_GB2312" w:hAnsi="仿宋_GB2312" w:eastAsia="仿宋_GB2312" w:cs="仿宋_GB2312"/>
          <w:color w:val="000000"/>
          <w:kern w:val="0"/>
          <w:sz w:val="28"/>
          <w:szCs w:val="28"/>
          <w:lang w:val="en-US" w:eastAsia="zh-CN" w:bidi="ar"/>
        </w:rPr>
        <w:t>点</w:t>
      </w:r>
      <w:r>
        <w:rPr>
          <w:rFonts w:ascii="仿宋_GB2312" w:hAnsi="仿宋_GB2312" w:eastAsia="仿宋_GB2312" w:cs="仿宋_GB2312"/>
          <w:color w:val="000000"/>
          <w:kern w:val="0"/>
          <w:sz w:val="28"/>
          <w:szCs w:val="28"/>
          <w:lang w:val="en-US" w:eastAsia="zh-CN" w:bidi="ar"/>
        </w:rPr>
        <w:t>专项</w:t>
      </w:r>
      <w:r>
        <w:rPr>
          <w:rFonts w:hint="eastAsia" w:ascii="仿宋_GB2312" w:hAnsi="仿宋_GB2312" w:eastAsia="仿宋_GB2312" w:cs="仿宋_GB2312"/>
          <w:color w:val="000000"/>
          <w:kern w:val="0"/>
          <w:sz w:val="28"/>
          <w:szCs w:val="28"/>
          <w:lang w:val="en-US" w:eastAsia="zh-CN" w:bidi="ar"/>
        </w:rPr>
        <w:t>合格</w:t>
      </w:r>
      <w:r>
        <w:rPr>
          <w:rFonts w:ascii="仿宋_GB2312" w:hAnsi="仿宋_GB2312" w:eastAsia="仿宋_GB2312" w:cs="仿宋_GB2312"/>
          <w:color w:val="000000"/>
          <w:kern w:val="0"/>
          <w:sz w:val="28"/>
          <w:szCs w:val="28"/>
          <w:lang w:val="en-US" w:eastAsia="zh-CN" w:bidi="ar"/>
        </w:rPr>
        <w:t>评估</w:t>
      </w:r>
      <w:r>
        <w:rPr>
          <w:rFonts w:hint="eastAsia" w:ascii="仿宋_GB2312" w:hAnsi="仿宋_GB2312" w:eastAsia="仿宋_GB2312" w:cs="仿宋_GB2312"/>
          <w:color w:val="000000"/>
          <w:kern w:val="0"/>
          <w:sz w:val="28"/>
          <w:szCs w:val="28"/>
          <w:lang w:val="en-US" w:eastAsia="zh-CN" w:bidi="ar"/>
        </w:rPr>
        <w:t>，结果合格；2020年接收授权点水平评估，结果待公布。</w:t>
      </w:r>
    </w:p>
    <w:p>
      <w:pPr>
        <w:spacing w:line="360" w:lineRule="auto"/>
        <w:ind w:firstLine="560"/>
        <w:rPr>
          <w:rFonts w:hint="default" w:ascii="仿宋" w:hAnsi="仿宋" w:eastAsia="仿宋"/>
          <w:bCs/>
          <w:sz w:val="28"/>
          <w:szCs w:val="28"/>
          <w:lang w:val="en-US"/>
        </w:rPr>
      </w:pPr>
      <w:r>
        <w:rPr>
          <w:rFonts w:hint="eastAsia" w:ascii="仿宋" w:hAnsi="仿宋" w:eastAsia="仿宋"/>
          <w:bCs/>
          <w:sz w:val="28"/>
          <w:szCs w:val="28"/>
        </w:rPr>
        <w:t>学位点</w:t>
      </w:r>
      <w:r>
        <w:rPr>
          <w:rFonts w:hint="eastAsia" w:ascii="仿宋" w:hAnsi="仿宋" w:eastAsia="仿宋"/>
          <w:bCs/>
          <w:sz w:val="28"/>
          <w:szCs w:val="28"/>
          <w:lang w:eastAsia="zh-CN"/>
        </w:rPr>
        <w:t>培养方案于</w:t>
      </w:r>
      <w:r>
        <w:rPr>
          <w:rFonts w:hint="eastAsia" w:ascii="仿宋" w:hAnsi="仿宋" w:eastAsia="仿宋"/>
          <w:bCs/>
          <w:sz w:val="28"/>
          <w:szCs w:val="28"/>
          <w:lang w:val="en-US" w:eastAsia="zh-CN"/>
        </w:rPr>
        <w:t>2015年、2018年、2021年进行了三次修订，主要对课程体系进行了优化，2021年将临床实践总时长由30个月修改为24个月。本年度按照2018年修订方案执行。</w:t>
      </w:r>
    </w:p>
    <w:p>
      <w:pPr>
        <w:spacing w:line="360" w:lineRule="auto"/>
        <w:ind w:firstLine="560"/>
        <w:rPr>
          <w:rFonts w:ascii="仿宋" w:hAnsi="仿宋" w:eastAsia="仿宋"/>
          <w:bCs/>
          <w:sz w:val="28"/>
          <w:szCs w:val="28"/>
        </w:rPr>
      </w:pPr>
      <w:r>
        <w:rPr>
          <w:rFonts w:hint="eastAsia" w:ascii="仿宋" w:hAnsi="仿宋" w:eastAsia="仿宋"/>
          <w:bCs/>
          <w:sz w:val="28"/>
          <w:szCs w:val="28"/>
          <w:lang w:eastAsia="zh-CN"/>
        </w:rPr>
        <w:t>培养方案根据</w:t>
      </w:r>
      <w:r>
        <w:rPr>
          <w:rFonts w:hint="eastAsia" w:ascii="仿宋" w:hAnsi="仿宋" w:eastAsia="仿宋"/>
          <w:bCs/>
          <w:sz w:val="28"/>
          <w:szCs w:val="28"/>
        </w:rPr>
        <w:t>国家《护理硕士专业学位研究生指导性培养方案（试行）》（学位办〔2011〕4号）精神，制定培养目标</w:t>
      </w:r>
      <w:r>
        <w:rPr>
          <w:rFonts w:hint="eastAsia" w:ascii="仿宋" w:hAnsi="仿宋" w:eastAsia="仿宋"/>
          <w:bCs/>
          <w:sz w:val="28"/>
          <w:szCs w:val="28"/>
          <w:lang w:eastAsia="zh-CN"/>
        </w:rPr>
        <w:t>始终</w:t>
      </w:r>
      <w:r>
        <w:rPr>
          <w:rFonts w:hint="eastAsia" w:ascii="仿宋" w:hAnsi="仿宋" w:eastAsia="仿宋"/>
          <w:bCs/>
          <w:sz w:val="28"/>
          <w:szCs w:val="28"/>
        </w:rPr>
        <w:t>为：培养热爱护理专业，信念执着、品德优良，具有较强人文底蕴和临床护理实践能力、临床决策能力及循证护理能力、能直接从事临床专门领域护理实践的高层次、应用型、专科型护理人才。</w:t>
      </w:r>
    </w:p>
    <w:p>
      <w:pPr>
        <w:spacing w:line="360" w:lineRule="auto"/>
        <w:rPr>
          <w:rFonts w:ascii="仿宋" w:hAnsi="仿宋" w:eastAsia="仿宋"/>
          <w:b/>
          <w:bCs/>
          <w:sz w:val="28"/>
          <w:szCs w:val="28"/>
        </w:rPr>
      </w:pPr>
      <w:r>
        <w:rPr>
          <w:rFonts w:hint="eastAsia" w:ascii="仿宋" w:hAnsi="仿宋" w:eastAsia="仿宋"/>
          <w:b/>
          <w:bCs/>
          <w:sz w:val="28"/>
          <w:szCs w:val="28"/>
        </w:rPr>
        <w:t>（二）学位标准</w:t>
      </w:r>
    </w:p>
    <w:p>
      <w:pPr>
        <w:spacing w:line="360" w:lineRule="auto"/>
        <w:ind w:firstLine="560"/>
        <w:rPr>
          <w:rFonts w:ascii="仿宋" w:hAnsi="仿宋" w:eastAsia="仿宋"/>
          <w:bCs/>
          <w:sz w:val="28"/>
          <w:szCs w:val="28"/>
        </w:rPr>
      </w:pPr>
      <w:r>
        <w:rPr>
          <w:rFonts w:hint="eastAsia" w:ascii="仿宋" w:hAnsi="仿宋" w:eastAsia="仿宋"/>
          <w:bCs/>
          <w:sz w:val="28"/>
          <w:szCs w:val="28"/>
        </w:rPr>
        <w:t>完成临床护理硕士专业学位研究生课程学习，成绩合格，取得规定的学分；通过临床护理能力综合考核；取得《护士职业资格证》及《专科护士培训合格证》；符合《川北医学院全日制硕士研究生学位授予标准（试行）》（川北医发、〔2018〕34号）文件要求；通过硕士论文答辩，经研究生个人申请、导师鉴定、护理学院和研究生处审查，由学校学位评定委员会审核批准，授予护理硕士专业学位。</w:t>
      </w:r>
    </w:p>
    <w:p>
      <w:pPr>
        <w:numPr>
          <w:ilvl w:val="0"/>
          <w:numId w:val="1"/>
        </w:numPr>
        <w:spacing w:line="360" w:lineRule="auto"/>
        <w:rPr>
          <w:rFonts w:ascii="仿宋" w:hAnsi="仿宋" w:eastAsia="仿宋"/>
          <w:b/>
          <w:bCs/>
          <w:sz w:val="28"/>
          <w:szCs w:val="28"/>
        </w:rPr>
      </w:pPr>
      <w:r>
        <w:rPr>
          <w:rFonts w:hint="eastAsia" w:ascii="仿宋" w:hAnsi="仿宋" w:eastAsia="仿宋"/>
          <w:b/>
          <w:bCs/>
          <w:sz w:val="28"/>
          <w:szCs w:val="28"/>
        </w:rPr>
        <w:t>基本条件</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培养特色</w:t>
      </w:r>
    </w:p>
    <w:p>
      <w:pPr>
        <w:spacing w:line="360" w:lineRule="auto"/>
        <w:rPr>
          <w:rFonts w:ascii="仿宋" w:hAnsi="仿宋" w:eastAsia="仿宋"/>
          <w:bCs/>
          <w:sz w:val="28"/>
          <w:szCs w:val="28"/>
        </w:rPr>
      </w:pPr>
      <w:r>
        <w:rPr>
          <w:rFonts w:hint="eastAsia" w:ascii="仿宋" w:hAnsi="仿宋" w:eastAsia="仿宋"/>
          <w:bCs/>
          <w:sz w:val="28"/>
          <w:szCs w:val="28"/>
        </w:rPr>
        <w:t xml:space="preserve">    以我国当前高层次、应用型、专科型护理人才需求为导向，立足西部地区高级护理人才缺口，结合我校神经疾病研究中心（中央与地方共建高校特色优势学科（所））、肝胆胰肠研究所、国家临床重点专科（中西医结合肛肠科）、四川省风湿病治疗中心、医学影像等优势学科，凝练形成外科消化疾病护理、内科慢性疾病护理、神经血管疾病护理及急危重症护理四个特色方向。</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师资队伍</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2020年护理学科导师30人，其中教授22人、副教授8人，院内导师21人，博士4人，硕士9人。专任教师85人，有四川省学术和技术带头人1人，四川省学术和技术带头人后备人选1人，四川省卫生健康委学术和技术带头人1人；全国高等教育学会理事1人，中华护理学会理事1人，四川省护理学会副理事长1人，省护理学会常务理事、各专业委员会副主任委员及委员共42人。</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科学研究</w:t>
      </w:r>
    </w:p>
    <w:p>
      <w:pPr>
        <w:pStyle w:val="13"/>
        <w:spacing w:before="2" w:line="213" w:lineRule="auto"/>
        <w:ind w:right="111" w:firstLine="560" w:firstLineChars="200"/>
        <w:rPr>
          <w:rFonts w:ascii="仿宋" w:hAnsi="仿宋" w:eastAsia="仿宋"/>
          <w:bCs/>
          <w:sz w:val="28"/>
          <w:szCs w:val="28"/>
        </w:rPr>
      </w:pPr>
      <w:r>
        <w:rPr>
          <w:rFonts w:hint="eastAsia" w:ascii="仿宋" w:hAnsi="仿宋" w:eastAsia="仿宋"/>
          <w:bCs/>
          <w:sz w:val="28"/>
          <w:szCs w:val="28"/>
        </w:rPr>
        <w:t>已形成4个稳定的研究方向，发表论文共224篇，其中SCI 4篇；申报国家实用新型专利共38项；科研立项共110项，其中厅局级课题34项、市级课题23项、院校级课题53项；专利转化1项；继续教育项目29项，其中国家级继续教育项目1项、省级继续教育项目19项；组织开展适宜推广技术6项，院内新业务新技术开展6项。</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教学科研支撑</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lang w:val="zh-TW"/>
        </w:rPr>
        <w:t>建有1个基础护理实验中心、1个助产护理实验中心。实验中心占地面积3300余平方米，设有基础护理实验室、临床护理实验室、康复实验室、心理咨询室、形体训练室、急救重症监护室、手术室、神经病学实验中心等实验室。科学研究平台包括循证护理研究室、</w:t>
      </w:r>
      <w:r>
        <w:rPr>
          <w:rFonts w:hint="eastAsia" w:ascii="仿宋" w:hAnsi="仿宋" w:eastAsia="仿宋"/>
          <w:bCs/>
          <w:sz w:val="28"/>
          <w:szCs w:val="28"/>
          <w:lang w:val="zh-TW" w:eastAsia="zh-TW"/>
        </w:rPr>
        <w:t>急危重症心脑血管救治实训研究室</w:t>
      </w:r>
      <w:r>
        <w:rPr>
          <w:rFonts w:hint="eastAsia" w:ascii="仿宋" w:hAnsi="仿宋" w:eastAsia="仿宋"/>
          <w:bCs/>
          <w:sz w:val="28"/>
          <w:szCs w:val="28"/>
          <w:lang w:val="zh-TW"/>
        </w:rPr>
        <w:t>、</w:t>
      </w:r>
      <w:r>
        <w:rPr>
          <w:rFonts w:hint="eastAsia" w:ascii="仿宋" w:hAnsi="仿宋" w:eastAsia="仿宋"/>
          <w:bCs/>
          <w:sz w:val="28"/>
          <w:szCs w:val="28"/>
          <w:lang w:val="zh-TW" w:eastAsia="zh-TW"/>
        </w:rPr>
        <w:t>基于“互联网+”急危重症心脑血管病救治平台</w:t>
      </w:r>
      <w:r>
        <w:rPr>
          <w:rFonts w:hint="eastAsia" w:ascii="仿宋" w:hAnsi="仿宋" w:eastAsia="仿宋"/>
          <w:bCs/>
          <w:sz w:val="28"/>
          <w:szCs w:val="28"/>
          <w:lang w:val="zh-TW"/>
        </w:rPr>
        <w:t>、</w:t>
      </w:r>
      <w:r>
        <w:rPr>
          <w:rFonts w:hint="eastAsia" w:ascii="仿宋" w:hAnsi="仿宋" w:eastAsia="仿宋"/>
          <w:bCs/>
          <w:sz w:val="28"/>
          <w:szCs w:val="28"/>
          <w:lang w:val="zh-TW" w:eastAsia="zh-TW"/>
        </w:rPr>
        <w:t>临床护理医疗器械产学研合作平台</w:t>
      </w:r>
      <w:r>
        <w:rPr>
          <w:rFonts w:hint="eastAsia" w:ascii="仿宋" w:hAnsi="仿宋" w:eastAsia="仿宋"/>
          <w:bCs/>
          <w:sz w:val="28"/>
          <w:szCs w:val="28"/>
          <w:lang w:val="zh-TW"/>
        </w:rPr>
        <w:t>、</w:t>
      </w:r>
      <w:r>
        <w:rPr>
          <w:rFonts w:hint="eastAsia" w:ascii="仿宋" w:hAnsi="仿宋" w:eastAsia="仿宋"/>
          <w:bCs/>
          <w:sz w:val="28"/>
          <w:szCs w:val="28"/>
          <w:lang w:val="zh-TW" w:eastAsia="zh-TW"/>
        </w:rPr>
        <w:t>脑功能修复与调控实验平台</w:t>
      </w:r>
      <w:r>
        <w:rPr>
          <w:rFonts w:hint="eastAsia" w:ascii="仿宋" w:hAnsi="仿宋" w:eastAsia="仿宋"/>
          <w:bCs/>
          <w:sz w:val="28"/>
          <w:szCs w:val="28"/>
          <w:lang w:val="zh-TW"/>
        </w:rPr>
        <w:t>以及共享的医院公共实验室5个、成套细胞培养室2个、分子生物室、免疫组化室、生物芯片平台、激光共聚集仪室、流式细胞室、肛肠疾病研究所、神经疾病研究所、肝胆胰肠疾病研究所各1个。</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奖助体系</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本学位点研究生奖助体系包括国家奖学金、学业奖学金、校内奖学金以及国家助学金。根据学校要求，组织护理学院研究生国家奖学金评审委员会和护理学院研究生奖助学金评审委员会参照《川北医学院研究生国家奖学金评审实施细则》（川北医发〔2016〕14号）、《川北医学院研究生学业奖学金评审实施细则》（川北医发〔2016〕15号）和《川北医学院护理学院研究生奖学金评审实施细则》、《川北医学院护理研究生奖学金评定与管理暂行办法》（川北医办〔2017〕13号）进行评审。2020年，学位点研究生奖学金资助金额33.4万元，惠及学生50人；助学金资助金额达29.28万元，惠及学生64人。</w:t>
      </w:r>
    </w:p>
    <w:p>
      <w:pPr>
        <w:spacing w:line="360" w:lineRule="auto"/>
        <w:rPr>
          <w:rFonts w:ascii="仿宋" w:hAnsi="仿宋" w:eastAsia="仿宋"/>
          <w:b/>
          <w:bCs/>
          <w:sz w:val="28"/>
          <w:szCs w:val="28"/>
        </w:rPr>
      </w:pPr>
      <w:r>
        <w:rPr>
          <w:rFonts w:hint="eastAsia" w:ascii="仿宋" w:hAnsi="仿宋" w:eastAsia="仿宋"/>
          <w:b/>
          <w:bCs/>
          <w:sz w:val="28"/>
          <w:szCs w:val="28"/>
        </w:rPr>
        <w:t>三、人才培养</w:t>
      </w:r>
    </w:p>
    <w:p>
      <w:pPr>
        <w:spacing w:line="360" w:lineRule="auto"/>
        <w:rPr>
          <w:rFonts w:ascii="仿宋" w:hAnsi="仿宋" w:eastAsia="仿宋"/>
          <w:b/>
          <w:bCs/>
          <w:sz w:val="28"/>
          <w:szCs w:val="28"/>
        </w:rPr>
      </w:pPr>
      <w:r>
        <w:rPr>
          <w:rFonts w:hint="eastAsia" w:ascii="仿宋" w:hAnsi="仿宋" w:eastAsia="仿宋"/>
          <w:b/>
          <w:bCs/>
          <w:sz w:val="28"/>
          <w:szCs w:val="28"/>
        </w:rPr>
        <w:t>（一）招生选拔</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2020年共招生43名专业学位硕士研究生，为确保选拔优质生源，优化学缘结构，发展学生综合素养，学位点努力留住本校优秀应届本科毕业生，并通过广泛的招生宣传吸引校外优质资源；在复试前严格按照报考资格进行再审查,对不具备资格的取消复试资格并做好解释工作；在复试过程中切实按照公平、公正、公开的原则，筛选考官对考生的基础知识、专业能力与英语进行综合考量，择优录取。</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思政教育</w:t>
      </w:r>
    </w:p>
    <w:p>
      <w:pPr>
        <w:spacing w:line="360" w:lineRule="auto"/>
        <w:ind w:firstLine="562"/>
        <w:rPr>
          <w:rFonts w:ascii="仿宋" w:hAnsi="仿宋" w:eastAsia="仿宋"/>
          <w:bCs/>
          <w:sz w:val="28"/>
          <w:szCs w:val="28"/>
        </w:rPr>
      </w:pPr>
      <w:r>
        <w:rPr>
          <w:rFonts w:hint="eastAsia" w:ascii="仿宋" w:hAnsi="仿宋" w:eastAsia="仿宋"/>
          <w:bCs/>
          <w:sz w:val="28"/>
          <w:szCs w:val="28"/>
        </w:rPr>
        <w:t>以习近平新时代中国特色社会主义思想为指导，紧紧围绕立德树人根本任务和学生培养目标，深挖南充地域红色文化元素，贯穿于教育教学全过程，建立健全育人机制，推动“三全育人”工作，着力培养德智体美劳全面发展和担当民族复兴大任的社会主义建设者和接班人。设置《自然辩证法概论》和《马克思主义基本原理》课程，着眼于训练研究生的哲学思维，帮助研究生掌握马克思主义哲学的自然观、科学观、技术观，了解自然界发展和科学技术发展的一般规律，认识科学技术在社会发展中的作用，培养研究生的创新精神和创新能力。同时改革教学设计，修订教学大纲，组织科任老师收集思政元素并融入日常授课中。鼓励学生自主学习，通过学习强国APP打卡，营造良好的学习氛围，促进日常理论学习。利用网络媒体对研究生进行思想政治教育，组织其观看党员教育片、爱国电影，转发先进党员事迹供研究生党员随时随地学习，不断探索与时代发展相适应的党建工作方法。</w:t>
      </w:r>
    </w:p>
    <w:p>
      <w:pPr>
        <w:spacing w:line="360" w:lineRule="auto"/>
        <w:rPr>
          <w:rFonts w:ascii="仿宋" w:hAnsi="仿宋" w:eastAsia="仿宋"/>
          <w:b/>
          <w:bCs/>
          <w:sz w:val="28"/>
          <w:szCs w:val="28"/>
        </w:rPr>
      </w:pPr>
      <w:r>
        <w:rPr>
          <w:rFonts w:hint="eastAsia" w:ascii="仿宋" w:hAnsi="仿宋" w:eastAsia="仿宋"/>
          <w:b/>
          <w:bCs/>
          <w:sz w:val="28"/>
          <w:szCs w:val="28"/>
        </w:rPr>
        <w:t>（三）课程教学</w:t>
      </w:r>
    </w:p>
    <w:p>
      <w:pPr>
        <w:spacing w:line="360" w:lineRule="auto"/>
        <w:ind w:firstLine="562"/>
        <w:rPr>
          <w:rFonts w:ascii="仿宋" w:hAnsi="仿宋" w:eastAsia="仿宋"/>
          <w:bCs/>
          <w:sz w:val="28"/>
          <w:szCs w:val="28"/>
        </w:rPr>
      </w:pPr>
      <w:r>
        <w:rPr>
          <w:rFonts w:hint="eastAsia" w:ascii="仿宋" w:hAnsi="仿宋" w:eastAsia="仿宋"/>
          <w:bCs/>
          <w:sz w:val="28"/>
          <w:szCs w:val="28"/>
        </w:rPr>
        <w:t>根据《川北医学院护理硕士专业学位研究生培养方案》（川北医研〔2018〕5 号），本学位点研究生培养实行学分制，总学分不低于22学分。课程类型包括公共课、专业基础课、专业课、选修课。课程设置紧密结合培养目标，以临床问题为导向，开展专业基础课，以坚实研究生临床实践、科学研究理论根基；开展《循证医学》，以提高循证思辨、批判性思维能力；开展《急危重症护理学》、《高级护理实践》、《传染病防治》等课程讲座，以进一步提高对急危重症、重大公共卫生事件、老年慢性病、复杂疾病及罕见病患者整体护理能力；围绕伦理道德、人文沟通、法律法规及职业规划，开展系列思想素质教育选修课。授课方式以集中授课、专题讲座等形式进行。主讲教师需满足以下条件之一：硕士研究生毕业且具有中级及以上职称；担任研究生导师；具有博士学位。</w:t>
      </w:r>
    </w:p>
    <w:p>
      <w:pPr>
        <w:spacing w:line="360" w:lineRule="auto"/>
        <w:ind w:firstLine="562"/>
        <w:rPr>
          <w:rFonts w:hint="eastAsia" w:ascii="仿宋" w:hAnsi="仿宋" w:eastAsia="仿宋"/>
          <w:bCs/>
          <w:sz w:val="28"/>
          <w:szCs w:val="28"/>
        </w:rPr>
      </w:pPr>
      <w:r>
        <w:rPr>
          <w:rFonts w:hint="eastAsia" w:ascii="仿宋" w:hAnsi="仿宋" w:eastAsia="仿宋"/>
          <w:bCs/>
          <w:sz w:val="28"/>
          <w:szCs w:val="28"/>
        </w:rPr>
        <w:t>课堂教学通过学生满意度调研结果进行持续质量改进。教材建设是学校研究生教育改革的重点之一，也是“十四五”期间学科建设与研究生教育的重点内容。本学位点高度重视研究生教材建设，向国内外一流高校的护理研究生教师及时交流信息，同时组织队伍、凝聚力量、加大支持力度，产出系列出版成果，不断提升本学位点研究生教育水平。</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导师指导</w:t>
      </w:r>
    </w:p>
    <w:p>
      <w:pPr>
        <w:spacing w:line="360" w:lineRule="auto"/>
        <w:ind w:firstLine="560"/>
        <w:rPr>
          <w:rFonts w:ascii="仿宋" w:hAnsi="仿宋" w:eastAsia="仿宋"/>
          <w:bCs/>
          <w:sz w:val="28"/>
          <w:szCs w:val="28"/>
        </w:rPr>
      </w:pPr>
      <w:r>
        <w:rPr>
          <w:rFonts w:hint="eastAsia" w:ascii="仿宋" w:hAnsi="仿宋" w:eastAsia="仿宋"/>
          <w:bCs/>
          <w:sz w:val="28"/>
          <w:szCs w:val="28"/>
        </w:rPr>
        <w:t>为加强研究生导师队伍建设，规范研究生导师指导行为，全面落实研究生导师立德树人职责，本学位点隶属学校制定了《川北医学院研究生指导教师管理实施细则》。本学位点严格按照该细则遴选、聘用、考核导师，规范导师职责，各导师认真贯彻执行，无导师出现违反该细则规定的情况。</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实践教学</w:t>
      </w:r>
    </w:p>
    <w:p>
      <w:pPr>
        <w:spacing w:line="360" w:lineRule="auto"/>
        <w:ind w:firstLine="480"/>
        <w:rPr>
          <w:rFonts w:ascii="仿宋" w:hAnsi="仿宋" w:eastAsia="仿宋"/>
          <w:bCs/>
          <w:sz w:val="28"/>
          <w:szCs w:val="28"/>
        </w:rPr>
      </w:pPr>
      <w:r>
        <w:rPr>
          <w:rFonts w:hint="eastAsia" w:ascii="仿宋" w:hAnsi="仿宋" w:eastAsia="仿宋"/>
          <w:bCs/>
          <w:sz w:val="28"/>
          <w:szCs w:val="28"/>
        </w:rPr>
        <w:t>搭建研究生参与实践教学平台，组织讲课比赛、技能操作比赛等，临床实训期间，研究生须完成至少6次学术讲座，参加轮转科室教学查房、小讲课、病例讨论、技能培训等教学活动并独立完成轮转科室相关领域教学查房、小讲课、病例讨论等项目各1次。</w:t>
      </w:r>
    </w:p>
    <w:p>
      <w:pPr>
        <w:spacing w:line="360" w:lineRule="auto"/>
        <w:ind w:firstLine="480"/>
        <w:rPr>
          <w:rFonts w:ascii="仿宋" w:hAnsi="仿宋" w:eastAsia="仿宋"/>
          <w:bCs/>
          <w:sz w:val="28"/>
          <w:szCs w:val="28"/>
        </w:rPr>
      </w:pPr>
      <w:r>
        <w:rPr>
          <w:rFonts w:hint="eastAsia" w:ascii="仿宋" w:hAnsi="仿宋" w:eastAsia="仿宋"/>
          <w:bCs/>
          <w:sz w:val="28"/>
          <w:szCs w:val="28"/>
        </w:rPr>
        <w:t>本学位点目前设专业实践基地4家，其中校外教学实践基地2家。学位点与深圳迈瑞医药公司合作共建“急危重症护理人才培训基地”，将企业实训引入专业课程体系，提升实践教学质量。另与成都丹迪商贸有限公司合作，成立了成都丹迪-川北医学院护理学院护理虚拟仿真实验教学培训基地，为我院捐赠了15万元教学实验设备，设立了10万元教育基金用于护理学子专研技能技术。</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学术交流</w:t>
      </w:r>
    </w:p>
    <w:p>
      <w:pPr>
        <w:spacing w:line="360" w:lineRule="auto"/>
        <w:rPr>
          <w:rFonts w:hint="eastAsia" w:ascii="仿宋" w:hAnsi="仿宋" w:eastAsia="仿宋"/>
          <w:bCs/>
          <w:color w:val="FF0000"/>
          <w:sz w:val="28"/>
          <w:szCs w:val="28"/>
        </w:rPr>
      </w:pPr>
      <w:r>
        <w:rPr>
          <w:rFonts w:hint="eastAsia" w:ascii="仿宋" w:hAnsi="仿宋" w:eastAsia="仿宋"/>
          <w:bCs/>
          <w:color w:val="FF0000"/>
          <w:sz w:val="28"/>
          <w:szCs w:val="28"/>
        </w:rPr>
        <w:t xml:space="preserve">  </w:t>
      </w:r>
      <w:r>
        <w:rPr>
          <w:rFonts w:hint="eastAsia" w:ascii="仿宋" w:hAnsi="仿宋" w:eastAsia="仿宋"/>
          <w:bCs/>
          <w:sz w:val="28"/>
          <w:szCs w:val="28"/>
        </w:rPr>
        <w:t xml:space="preserve">  搭建院内外学术交流平台，邀请国内知名护理专家，举办高水平学术交流继续教育项目，共享网络优质教学资源，充分为学生提供了解专业领域新动向、新发展的机会。本年度师生团队参与线上线下国际学术交流会5人次、国家级学术交流会50余人次、省级学术交流会20余人次、市校级120余人次。</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论文质量</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学位点以《护理硕士专业学位设置方案》及《川北医学院专业学位硕士研究生学位论文撰写要求》等文件精神为设计框架，搭建了能够区别于学术学位研究生评价标准、较为科学和系统的学位论文质量评价体系，通过4项一级指标、9项二级指标、36项三级指标对专业学位研究生学位论文质量的创新性、科学性、应用性等进行全面评价。为确保质量，学位点提出毕业论文设计、实施、答辩“导师—院（系）督导—学校学位分委会”三级全程监控体系，不断提升学位论文质量。2020年度，学校学位论文盲审抽检率为50%，本学位点学位论文抽检合格率100%。</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2020年，本学位点9篇学位论文经学位论文学术不端行为检测系统检测合格，其中1篇被评为川北医学院优秀毕业论文。论文选题基于临床工作实践，以护理技术创新性应用、患者管理模式的本土化实践、护理理论模型的应用调研、护理行业标准的制定和推广等为主，能关注并尝试解决临床护理的“热点”、“痛点”问题，其研究成果在急危重症护理、内科慢性疾病护理、外科消化疾病护理、神经血管疾病护理等多个临床领域产生客观指导作用，同时也为各级各类医疗机构和研究机构提供了护理实践参考。</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质量保证</w:t>
      </w:r>
    </w:p>
    <w:p>
      <w:pPr>
        <w:spacing w:line="360" w:lineRule="auto"/>
        <w:rPr>
          <w:rFonts w:ascii="仿宋" w:hAnsi="仿宋" w:eastAsia="仿宋"/>
          <w:bCs/>
          <w:sz w:val="28"/>
          <w:szCs w:val="28"/>
        </w:rPr>
      </w:pPr>
      <w:r>
        <w:rPr>
          <w:rFonts w:hint="eastAsia" w:ascii="仿宋" w:hAnsi="仿宋" w:eastAsia="仿宋"/>
          <w:bCs/>
          <w:sz w:val="28"/>
          <w:szCs w:val="28"/>
        </w:rPr>
        <w:t xml:space="preserve">    本学位点严格把关论文质量，严格执行学位论文质量监督与保障制度。本年度研究生学位论文在教育部、四川省以及校内三级抽查及盲审中全部均为“合格”。研究生学位授予比例为100%。培养的研究生具备创造性的研究和解决本学科中的关键理论和实际问题的能力。</w:t>
      </w:r>
    </w:p>
    <w:p>
      <w:pPr>
        <w:spacing w:line="360" w:lineRule="auto"/>
        <w:rPr>
          <w:rFonts w:ascii="仿宋" w:hAnsi="仿宋" w:eastAsia="仿宋"/>
          <w:bCs/>
          <w:sz w:val="28"/>
          <w:szCs w:val="28"/>
        </w:rPr>
      </w:pPr>
      <w:r>
        <w:rPr>
          <w:rFonts w:hint="eastAsia" w:ascii="仿宋" w:hAnsi="仿宋" w:eastAsia="仿宋"/>
          <w:bCs/>
          <w:sz w:val="28"/>
          <w:szCs w:val="28"/>
        </w:rPr>
        <w:t xml:space="preserve">    本年度研究生开题报告、中期考核、论文答辩均全部合格，未出现整改或终止培养情况。</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学风建设</w:t>
      </w:r>
    </w:p>
    <w:p>
      <w:pPr>
        <w:spacing w:line="360" w:lineRule="auto"/>
        <w:rPr>
          <w:rFonts w:ascii="仿宋" w:hAnsi="仿宋" w:eastAsia="仿宋"/>
          <w:bCs/>
          <w:sz w:val="28"/>
          <w:szCs w:val="28"/>
        </w:rPr>
      </w:pPr>
      <w:r>
        <w:rPr>
          <w:rFonts w:hint="eastAsia" w:ascii="仿宋" w:hAnsi="仿宋" w:eastAsia="仿宋"/>
          <w:bCs/>
          <w:sz w:val="28"/>
          <w:szCs w:val="28"/>
        </w:rPr>
        <w:t xml:space="preserve">    学校开展“科学道德和学术规范教育”专题讲座2次，学科点组织新生入学教育等其他相关讲座2次。引导研究生充分认识科学道德和学术规范，在今后的科研工作中努力弘扬求真务实、严谨自律的精神，共同营造良好的学术氛围。本年度护理学院没有发生导师学术不端、研究生抄袭剽窃等学术不端行为，无学生考试作弊行为发生。</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管理服务</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在学校研究生院的统一领导下，本学位点设有研究生科，配备研究生科长、秘书等专职管理人员负责研究生的日常管理服务工作。</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学校颁发的《川北医学院学生管理规定》（川北医发〔2017〕63号）明确了研究生的具体权益，为保护研究生在学期间的各类学生权益提供了制度保障。</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为全面了解在学研究生培养状况，本学位点对研究生开展座谈会，学生总体满意度达80%。</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就业发展</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本学位点成立了毕业生跟踪调查工作小组负责开展毕业生的跟踪、调查及反馈工作。同时紧密依托第三方开展毕业生跟踪调查工作，保证调查结果的客观性，从而为学校人才培养工作提供可靠依据。</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2020年本学位点研究生就业率100%，就业单位类型绝大部分在医疗卫生事业单位，就业范围辐射成都、重庆等川陕甘渝区域医疗中心与基层医疗单位，形成区域性护理人才网络，为区域基层医疗卫生机构业务水平提升、人才队伍结构优化发挥重要作用，深受用人单位欢迎。</w:t>
      </w:r>
    </w:p>
    <w:p>
      <w:pPr>
        <w:spacing w:line="360" w:lineRule="auto"/>
        <w:rPr>
          <w:rFonts w:ascii="仿宋" w:hAnsi="仿宋" w:eastAsia="仿宋"/>
          <w:b/>
          <w:bCs/>
          <w:sz w:val="28"/>
          <w:szCs w:val="28"/>
        </w:rPr>
      </w:pPr>
      <w:r>
        <w:rPr>
          <w:rFonts w:hint="eastAsia" w:ascii="仿宋" w:hAnsi="仿宋" w:eastAsia="仿宋"/>
          <w:b/>
          <w:bCs/>
          <w:sz w:val="28"/>
          <w:szCs w:val="28"/>
        </w:rPr>
        <w:t>四、服务贡献</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学位点成立了研究生志愿服务小分队、开辟了研究生公寓服务平台，优秀研究生定期走进本专科生宿舍，开展“护”帮“护”助志愿服务活动。在党组织的领导下，依托10余家临床实践基地，开展志愿者护理服务，走进学校、社区、福利院，辐射整个川东北，传播健康理念，维护人民健康，赢得了良好的社会反馈。</w:t>
      </w:r>
    </w:p>
    <w:p>
      <w:pPr>
        <w:spacing w:line="360" w:lineRule="auto"/>
        <w:rPr>
          <w:bCs/>
        </w:rPr>
      </w:pPr>
    </w:p>
    <w:p>
      <w:pPr>
        <w:numPr>
          <w:ilvl w:val="0"/>
          <w:numId w:val="4"/>
        </w:numPr>
        <w:spacing w:line="360" w:lineRule="auto"/>
        <w:jc w:val="center"/>
        <w:rPr>
          <w:rFonts w:ascii="黑体" w:hAnsi="黑体" w:eastAsia="黑体"/>
          <w:bCs/>
          <w:sz w:val="36"/>
          <w:szCs w:val="32"/>
        </w:rPr>
      </w:pPr>
      <w:r>
        <w:rPr>
          <w:rFonts w:ascii="黑体" w:hAnsi="黑体" w:eastAsia="黑体"/>
          <w:bCs/>
          <w:sz w:val="36"/>
          <w:szCs w:val="32"/>
        </w:rPr>
        <w:t>存在问题</w:t>
      </w:r>
    </w:p>
    <w:p>
      <w:pPr>
        <w:numPr>
          <w:ilvl w:val="0"/>
          <w:numId w:val="5"/>
        </w:numPr>
        <w:spacing w:line="360" w:lineRule="auto"/>
        <w:rPr>
          <w:rFonts w:hint="eastAsia" w:ascii="仿宋" w:hAnsi="仿宋" w:eastAsia="仿宋"/>
          <w:bCs/>
          <w:sz w:val="28"/>
          <w:szCs w:val="28"/>
          <w:lang w:eastAsia="zh-CN"/>
        </w:rPr>
      </w:pPr>
      <w:r>
        <w:rPr>
          <w:rFonts w:hint="eastAsia" w:ascii="仿宋" w:hAnsi="仿宋" w:eastAsia="仿宋"/>
          <w:bCs/>
          <w:sz w:val="28"/>
          <w:szCs w:val="28"/>
          <w:lang w:eastAsia="zh-CN"/>
        </w:rPr>
        <w:t>培养方案及课程体系需进一步优化。</w:t>
      </w:r>
    </w:p>
    <w:p>
      <w:pPr>
        <w:numPr>
          <w:ilvl w:val="0"/>
          <w:numId w:val="5"/>
        </w:numPr>
        <w:spacing w:line="360" w:lineRule="auto"/>
        <w:rPr>
          <w:rFonts w:ascii="仿宋" w:hAnsi="仿宋" w:eastAsia="仿宋"/>
          <w:bCs/>
          <w:sz w:val="28"/>
          <w:szCs w:val="28"/>
        </w:rPr>
      </w:pPr>
      <w:r>
        <w:rPr>
          <w:rFonts w:hint="eastAsia" w:ascii="仿宋" w:hAnsi="仿宋" w:eastAsia="仿宋"/>
          <w:bCs/>
          <w:sz w:val="28"/>
          <w:szCs w:val="28"/>
        </w:rPr>
        <w:t>教师队伍高学历较少，年龄结构偏大。</w:t>
      </w:r>
    </w:p>
    <w:p>
      <w:pPr>
        <w:numPr>
          <w:ilvl w:val="0"/>
          <w:numId w:val="5"/>
        </w:numPr>
        <w:spacing w:line="360" w:lineRule="auto"/>
        <w:rPr>
          <w:rFonts w:ascii="仿宋" w:hAnsi="仿宋" w:eastAsia="仿宋"/>
          <w:bCs/>
          <w:sz w:val="28"/>
          <w:szCs w:val="28"/>
        </w:rPr>
      </w:pPr>
      <w:r>
        <w:rPr>
          <w:rFonts w:hint="eastAsia" w:ascii="仿宋" w:hAnsi="仿宋" w:eastAsia="仿宋"/>
          <w:bCs/>
          <w:sz w:val="28"/>
          <w:szCs w:val="28"/>
        </w:rPr>
        <w:t>国际合作项目较少。</w:t>
      </w:r>
    </w:p>
    <w:p>
      <w:pPr>
        <w:numPr>
          <w:ilvl w:val="0"/>
          <w:numId w:val="5"/>
        </w:numPr>
        <w:spacing w:line="360" w:lineRule="auto"/>
        <w:rPr>
          <w:rFonts w:hint="eastAsia" w:ascii="仿宋" w:hAnsi="仿宋" w:eastAsia="仿宋"/>
          <w:bCs/>
          <w:sz w:val="28"/>
          <w:szCs w:val="28"/>
        </w:rPr>
      </w:pPr>
      <w:r>
        <w:rPr>
          <w:rFonts w:hint="eastAsia" w:ascii="仿宋" w:hAnsi="仿宋" w:eastAsia="仿宋"/>
          <w:bCs/>
          <w:sz w:val="28"/>
          <w:szCs w:val="28"/>
        </w:rPr>
        <w:t>高水平科研产出较少。</w:t>
      </w:r>
    </w:p>
    <w:p>
      <w:pPr>
        <w:spacing w:line="360" w:lineRule="auto"/>
        <w:rPr>
          <w:rFonts w:ascii="仿宋" w:hAnsi="仿宋" w:eastAsia="仿宋"/>
          <w:bCs/>
          <w:sz w:val="28"/>
          <w:szCs w:val="28"/>
        </w:rPr>
      </w:pPr>
    </w:p>
    <w:p>
      <w:pPr>
        <w:numPr>
          <w:ilvl w:val="0"/>
          <w:numId w:val="4"/>
        </w:numPr>
        <w:spacing w:line="360" w:lineRule="auto"/>
        <w:jc w:val="center"/>
        <w:rPr>
          <w:rFonts w:ascii="黑体" w:hAnsi="黑体" w:eastAsia="黑体"/>
          <w:bCs/>
          <w:sz w:val="36"/>
          <w:szCs w:val="28"/>
        </w:rPr>
      </w:pPr>
      <w:r>
        <w:rPr>
          <w:rFonts w:hint="eastAsia" w:ascii="黑体" w:hAnsi="黑体" w:eastAsia="黑体"/>
          <w:bCs/>
          <w:sz w:val="36"/>
          <w:szCs w:val="28"/>
        </w:rPr>
        <w:t xml:space="preserve"> 下一年度建设计划</w:t>
      </w:r>
    </w:p>
    <w:p>
      <w:pPr>
        <w:numPr>
          <w:numId w:val="0"/>
        </w:numPr>
        <w:spacing w:line="360" w:lineRule="auto"/>
        <w:rPr>
          <w:rFonts w:hint="eastAsia" w:ascii="仿宋" w:hAnsi="仿宋" w:eastAsia="仿宋"/>
          <w:bCs/>
          <w:sz w:val="28"/>
          <w:szCs w:val="28"/>
          <w:lang w:eastAsia="zh-CN"/>
        </w:rPr>
      </w:pPr>
      <w:r>
        <w:rPr>
          <w:rFonts w:hint="eastAsia" w:ascii="仿宋" w:hAnsi="仿宋" w:eastAsia="仿宋"/>
          <w:bCs/>
          <w:sz w:val="28"/>
          <w:szCs w:val="28"/>
          <w:lang w:eastAsia="zh-CN"/>
        </w:rPr>
        <w:t>一、修订研究生培养方案，优化课程体系。</w:t>
      </w:r>
    </w:p>
    <w:p>
      <w:pPr>
        <w:numPr>
          <w:numId w:val="0"/>
        </w:numPr>
        <w:spacing w:line="360" w:lineRule="auto"/>
        <w:rPr>
          <w:rFonts w:ascii="仿宋" w:hAnsi="仿宋" w:eastAsia="仿宋"/>
          <w:bCs/>
          <w:sz w:val="28"/>
          <w:szCs w:val="28"/>
        </w:rPr>
      </w:pPr>
      <w:r>
        <w:rPr>
          <w:rFonts w:hint="eastAsia" w:ascii="仿宋" w:hAnsi="仿宋" w:eastAsia="仿宋"/>
          <w:bCs/>
          <w:sz w:val="28"/>
          <w:szCs w:val="28"/>
          <w:lang w:eastAsia="zh-CN"/>
        </w:rPr>
        <w:t>二、</w:t>
      </w:r>
      <w:r>
        <w:rPr>
          <w:rFonts w:hint="eastAsia" w:ascii="仿宋" w:hAnsi="仿宋" w:eastAsia="仿宋"/>
          <w:bCs/>
          <w:sz w:val="28"/>
          <w:szCs w:val="28"/>
        </w:rPr>
        <w:t>加强学位点人才培养、信息化建设，加大学位点建设力度。</w:t>
      </w:r>
    </w:p>
    <w:p>
      <w:pPr>
        <w:numPr>
          <w:numId w:val="0"/>
        </w:numPr>
        <w:spacing w:line="360" w:lineRule="auto"/>
        <w:rPr>
          <w:rFonts w:ascii="仿宋" w:hAnsi="仿宋" w:eastAsia="仿宋"/>
          <w:bCs/>
          <w:sz w:val="28"/>
          <w:szCs w:val="28"/>
        </w:rPr>
      </w:pPr>
      <w:r>
        <w:rPr>
          <w:rFonts w:hint="eastAsia" w:ascii="仿宋" w:hAnsi="仿宋" w:eastAsia="仿宋"/>
          <w:bCs/>
          <w:sz w:val="28"/>
          <w:szCs w:val="28"/>
          <w:lang w:eastAsia="zh-CN"/>
        </w:rPr>
        <w:t>三、</w:t>
      </w:r>
      <w:r>
        <w:rPr>
          <w:rFonts w:hint="eastAsia" w:ascii="仿宋" w:hAnsi="仿宋" w:eastAsia="仿宋"/>
          <w:bCs/>
          <w:sz w:val="28"/>
          <w:szCs w:val="28"/>
        </w:rPr>
        <w:t>在科学研究等方面，加强与国内外高校的合作与交流，开展高层次的学术交流会议，通过内培外送的方式，提高导师队伍及研究生培养质量。</w:t>
      </w:r>
    </w:p>
    <w:p>
      <w:pPr>
        <w:numPr>
          <w:numId w:val="0"/>
        </w:numPr>
        <w:spacing w:line="360" w:lineRule="auto"/>
        <w:rPr>
          <w:rFonts w:ascii="仿宋" w:hAnsi="仿宋" w:eastAsia="仿宋"/>
          <w:bCs/>
          <w:sz w:val="28"/>
          <w:szCs w:val="28"/>
        </w:rPr>
      </w:pPr>
      <w:r>
        <w:rPr>
          <w:rFonts w:hint="eastAsia" w:ascii="仿宋" w:hAnsi="仿宋" w:eastAsia="仿宋"/>
          <w:bCs/>
          <w:sz w:val="28"/>
          <w:szCs w:val="28"/>
          <w:lang w:eastAsia="zh-CN"/>
        </w:rPr>
        <w:t>四、</w:t>
      </w:r>
      <w:r>
        <w:rPr>
          <w:rFonts w:hint="eastAsia" w:ascii="仿宋" w:hAnsi="仿宋" w:eastAsia="仿宋"/>
          <w:bCs/>
          <w:sz w:val="28"/>
          <w:szCs w:val="28"/>
        </w:rPr>
        <w:t>搭建</w:t>
      </w:r>
      <w:r>
        <w:rPr>
          <w:rFonts w:hint="eastAsia" w:ascii="仿宋" w:hAnsi="仿宋" w:eastAsia="仿宋"/>
          <w:bCs/>
          <w:sz w:val="28"/>
          <w:szCs w:val="28"/>
          <w:lang w:eastAsia="zh-CN"/>
        </w:rPr>
        <w:t>院内</w:t>
      </w:r>
      <w:r>
        <w:rPr>
          <w:rFonts w:hint="eastAsia" w:ascii="仿宋" w:hAnsi="仿宋" w:eastAsia="仿宋"/>
          <w:bCs/>
          <w:sz w:val="28"/>
          <w:szCs w:val="28"/>
        </w:rPr>
        <w:t>学习平台，如护理博士科研系列讲座、技能操作竞技比赛、讲课比赛等全面提高研究生临床、科研、教学“三位一体”全面发展。</w:t>
      </w:r>
    </w:p>
    <w:p>
      <w:pPr>
        <w:spacing w:line="360" w:lineRule="auto"/>
        <w:rPr>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6B110"/>
    <w:multiLevelType w:val="singleLevel"/>
    <w:tmpl w:val="8556B110"/>
    <w:lvl w:ilvl="0" w:tentative="0">
      <w:start w:val="1"/>
      <w:numFmt w:val="chineseCounting"/>
      <w:suff w:val="nothing"/>
      <w:lvlText w:val="%1、"/>
      <w:lvlJc w:val="left"/>
      <w:rPr>
        <w:rFonts w:hint="eastAsia"/>
      </w:rPr>
    </w:lvl>
  </w:abstractNum>
  <w:abstractNum w:abstractNumId="1">
    <w:nsid w:val="EFBE7D23"/>
    <w:multiLevelType w:val="singleLevel"/>
    <w:tmpl w:val="EFBE7D23"/>
    <w:lvl w:ilvl="0" w:tentative="0">
      <w:start w:val="2"/>
      <w:numFmt w:val="chineseCounting"/>
      <w:suff w:val="space"/>
      <w:lvlText w:val="第%1部分"/>
      <w:lvlJc w:val="left"/>
      <w:rPr>
        <w:rFonts w:hint="eastAsia"/>
      </w:rPr>
    </w:lvl>
  </w:abstractNum>
  <w:abstractNum w:abstractNumId="2">
    <w:nsid w:val="621887BE"/>
    <w:multiLevelType w:val="singleLevel"/>
    <w:tmpl w:val="621887BE"/>
    <w:lvl w:ilvl="0" w:tentative="0">
      <w:start w:val="2"/>
      <w:numFmt w:val="chineseCounting"/>
      <w:suff w:val="nothing"/>
      <w:lvlText w:val="%1、"/>
      <w:lvlJc w:val="left"/>
    </w:lvl>
  </w:abstractNum>
  <w:abstractNum w:abstractNumId="3">
    <w:nsid w:val="621887D6"/>
    <w:multiLevelType w:val="singleLevel"/>
    <w:tmpl w:val="621887D6"/>
    <w:lvl w:ilvl="0" w:tentative="0">
      <w:start w:val="1"/>
      <w:numFmt w:val="chineseCounting"/>
      <w:suff w:val="nothing"/>
      <w:lvlText w:val="（%1）"/>
      <w:lvlJc w:val="left"/>
    </w:lvl>
  </w:abstractNum>
  <w:abstractNum w:abstractNumId="4">
    <w:nsid w:val="6218B377"/>
    <w:multiLevelType w:val="singleLevel"/>
    <w:tmpl w:val="6218B377"/>
    <w:lvl w:ilvl="0" w:tentative="0">
      <w:start w:val="2"/>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3D"/>
    <w:rsid w:val="0001773E"/>
    <w:rsid w:val="00032E3D"/>
    <w:rsid w:val="000751FD"/>
    <w:rsid w:val="000B3582"/>
    <w:rsid w:val="000E2F62"/>
    <w:rsid w:val="001067B9"/>
    <w:rsid w:val="00124429"/>
    <w:rsid w:val="00187417"/>
    <w:rsid w:val="002B7C4B"/>
    <w:rsid w:val="002C44F6"/>
    <w:rsid w:val="002F5846"/>
    <w:rsid w:val="00362FB3"/>
    <w:rsid w:val="003A66D3"/>
    <w:rsid w:val="003B31FF"/>
    <w:rsid w:val="003C2F35"/>
    <w:rsid w:val="00416C82"/>
    <w:rsid w:val="004C08AB"/>
    <w:rsid w:val="00576EDC"/>
    <w:rsid w:val="005B3884"/>
    <w:rsid w:val="00690404"/>
    <w:rsid w:val="006D4A06"/>
    <w:rsid w:val="007C06BA"/>
    <w:rsid w:val="00885811"/>
    <w:rsid w:val="00983318"/>
    <w:rsid w:val="009A5A97"/>
    <w:rsid w:val="009A5CF9"/>
    <w:rsid w:val="009D3289"/>
    <w:rsid w:val="00A07B4D"/>
    <w:rsid w:val="00A92F21"/>
    <w:rsid w:val="00AC6826"/>
    <w:rsid w:val="00AF0B65"/>
    <w:rsid w:val="00B7754F"/>
    <w:rsid w:val="00C17B91"/>
    <w:rsid w:val="00C70FE5"/>
    <w:rsid w:val="00C74599"/>
    <w:rsid w:val="00CB0E3B"/>
    <w:rsid w:val="00CD0A58"/>
    <w:rsid w:val="00D10C27"/>
    <w:rsid w:val="00E46882"/>
    <w:rsid w:val="00F74CC1"/>
    <w:rsid w:val="00F85A8A"/>
    <w:rsid w:val="01490EBF"/>
    <w:rsid w:val="0173497C"/>
    <w:rsid w:val="021A5868"/>
    <w:rsid w:val="02391F12"/>
    <w:rsid w:val="024D3292"/>
    <w:rsid w:val="04577276"/>
    <w:rsid w:val="050339CA"/>
    <w:rsid w:val="052614B8"/>
    <w:rsid w:val="053134F6"/>
    <w:rsid w:val="05460476"/>
    <w:rsid w:val="061D264F"/>
    <w:rsid w:val="06A92A53"/>
    <w:rsid w:val="06C27CBA"/>
    <w:rsid w:val="074134F8"/>
    <w:rsid w:val="09CA2C9A"/>
    <w:rsid w:val="09E16D70"/>
    <w:rsid w:val="0AE5001D"/>
    <w:rsid w:val="0AEB002D"/>
    <w:rsid w:val="0AFE6B45"/>
    <w:rsid w:val="0CFE75B4"/>
    <w:rsid w:val="0D7D297E"/>
    <w:rsid w:val="0F953DB9"/>
    <w:rsid w:val="0FBA2FEA"/>
    <w:rsid w:val="0FC176D0"/>
    <w:rsid w:val="10943F23"/>
    <w:rsid w:val="10B1077E"/>
    <w:rsid w:val="10EF605B"/>
    <w:rsid w:val="12B3543A"/>
    <w:rsid w:val="13F56BD4"/>
    <w:rsid w:val="150D39CF"/>
    <w:rsid w:val="15DC66B7"/>
    <w:rsid w:val="160457F4"/>
    <w:rsid w:val="16207FD6"/>
    <w:rsid w:val="167509AA"/>
    <w:rsid w:val="17E03489"/>
    <w:rsid w:val="18465121"/>
    <w:rsid w:val="18F02060"/>
    <w:rsid w:val="1957184F"/>
    <w:rsid w:val="1C9366B7"/>
    <w:rsid w:val="1CAE3F4F"/>
    <w:rsid w:val="1D34671F"/>
    <w:rsid w:val="1DAF24EA"/>
    <w:rsid w:val="1E122A78"/>
    <w:rsid w:val="1E3D18A3"/>
    <w:rsid w:val="1EBB0A1A"/>
    <w:rsid w:val="1F017F95"/>
    <w:rsid w:val="1F6368EB"/>
    <w:rsid w:val="1F6C1EB4"/>
    <w:rsid w:val="1F9951FF"/>
    <w:rsid w:val="22AA7723"/>
    <w:rsid w:val="239B011C"/>
    <w:rsid w:val="23E24638"/>
    <w:rsid w:val="24722D6D"/>
    <w:rsid w:val="247973AD"/>
    <w:rsid w:val="24E02B8B"/>
    <w:rsid w:val="25537BFE"/>
    <w:rsid w:val="260301E2"/>
    <w:rsid w:val="261A4BC0"/>
    <w:rsid w:val="27745AB4"/>
    <w:rsid w:val="27A60CDF"/>
    <w:rsid w:val="284C1BA2"/>
    <w:rsid w:val="287534B1"/>
    <w:rsid w:val="28777BF4"/>
    <w:rsid w:val="28E868B0"/>
    <w:rsid w:val="29580C97"/>
    <w:rsid w:val="2A2C0A1E"/>
    <w:rsid w:val="2A7B4487"/>
    <w:rsid w:val="2C3818FC"/>
    <w:rsid w:val="2C517BE1"/>
    <w:rsid w:val="2CBA4398"/>
    <w:rsid w:val="2EA52148"/>
    <w:rsid w:val="2EE04E37"/>
    <w:rsid w:val="2F2805BC"/>
    <w:rsid w:val="2F2A2B5F"/>
    <w:rsid w:val="301F5D7C"/>
    <w:rsid w:val="309D730E"/>
    <w:rsid w:val="312402F2"/>
    <w:rsid w:val="31443BE4"/>
    <w:rsid w:val="31550BF3"/>
    <w:rsid w:val="323963CE"/>
    <w:rsid w:val="32541E73"/>
    <w:rsid w:val="3260446C"/>
    <w:rsid w:val="32CB171C"/>
    <w:rsid w:val="33707BCD"/>
    <w:rsid w:val="34043748"/>
    <w:rsid w:val="34485175"/>
    <w:rsid w:val="34803FAC"/>
    <w:rsid w:val="3575771D"/>
    <w:rsid w:val="357C6CFE"/>
    <w:rsid w:val="35C27C1F"/>
    <w:rsid w:val="36982523"/>
    <w:rsid w:val="37AC5F25"/>
    <w:rsid w:val="37EC6753"/>
    <w:rsid w:val="382442CE"/>
    <w:rsid w:val="38B21085"/>
    <w:rsid w:val="38E70BFE"/>
    <w:rsid w:val="398D7126"/>
    <w:rsid w:val="3A1F5EA9"/>
    <w:rsid w:val="3A2B6F44"/>
    <w:rsid w:val="3A3E6C77"/>
    <w:rsid w:val="3BAE03FF"/>
    <w:rsid w:val="3C4542ED"/>
    <w:rsid w:val="3D1C4922"/>
    <w:rsid w:val="3D213A70"/>
    <w:rsid w:val="3D430CEE"/>
    <w:rsid w:val="3D6764E5"/>
    <w:rsid w:val="3D867B18"/>
    <w:rsid w:val="3E993CFA"/>
    <w:rsid w:val="3F7E3672"/>
    <w:rsid w:val="407056B1"/>
    <w:rsid w:val="40BF3DD5"/>
    <w:rsid w:val="411F7A6D"/>
    <w:rsid w:val="42247BDA"/>
    <w:rsid w:val="42D35E02"/>
    <w:rsid w:val="4377737B"/>
    <w:rsid w:val="43F97B4B"/>
    <w:rsid w:val="440A125A"/>
    <w:rsid w:val="453F5652"/>
    <w:rsid w:val="458E1FE5"/>
    <w:rsid w:val="461C7A88"/>
    <w:rsid w:val="469814A2"/>
    <w:rsid w:val="46CC1183"/>
    <w:rsid w:val="477737C9"/>
    <w:rsid w:val="47860EEC"/>
    <w:rsid w:val="47882990"/>
    <w:rsid w:val="47EC1AC1"/>
    <w:rsid w:val="48D47354"/>
    <w:rsid w:val="4951787D"/>
    <w:rsid w:val="498D475F"/>
    <w:rsid w:val="49C74B7D"/>
    <w:rsid w:val="49DA3B9B"/>
    <w:rsid w:val="4A0E4F97"/>
    <w:rsid w:val="4AD641DD"/>
    <w:rsid w:val="4AEB2504"/>
    <w:rsid w:val="4AEC7E58"/>
    <w:rsid w:val="4BB32007"/>
    <w:rsid w:val="4C0A0767"/>
    <w:rsid w:val="4C325F10"/>
    <w:rsid w:val="4DC86B2C"/>
    <w:rsid w:val="4DF86DFC"/>
    <w:rsid w:val="4E06293B"/>
    <w:rsid w:val="4E6E5CBC"/>
    <w:rsid w:val="4ECF2C73"/>
    <w:rsid w:val="4F1162B1"/>
    <w:rsid w:val="4F9B5B7A"/>
    <w:rsid w:val="501A5B76"/>
    <w:rsid w:val="52B67521"/>
    <w:rsid w:val="53394028"/>
    <w:rsid w:val="54513236"/>
    <w:rsid w:val="546147A2"/>
    <w:rsid w:val="5568262A"/>
    <w:rsid w:val="56236728"/>
    <w:rsid w:val="565076BF"/>
    <w:rsid w:val="577357BA"/>
    <w:rsid w:val="57B27F05"/>
    <w:rsid w:val="59AC64F9"/>
    <w:rsid w:val="5A304BCC"/>
    <w:rsid w:val="5A41477A"/>
    <w:rsid w:val="5A6F3BAD"/>
    <w:rsid w:val="5A8E77E6"/>
    <w:rsid w:val="5ADD173D"/>
    <w:rsid w:val="5B5137E3"/>
    <w:rsid w:val="5BC22A17"/>
    <w:rsid w:val="5BFD5BA7"/>
    <w:rsid w:val="5C127D6D"/>
    <w:rsid w:val="5CCF2806"/>
    <w:rsid w:val="5CDE394D"/>
    <w:rsid w:val="5D3079AE"/>
    <w:rsid w:val="5DB34FAA"/>
    <w:rsid w:val="5E0222E1"/>
    <w:rsid w:val="5E0B22DB"/>
    <w:rsid w:val="5E190CDE"/>
    <w:rsid w:val="5F0C5A5D"/>
    <w:rsid w:val="5FE93C95"/>
    <w:rsid w:val="606933C6"/>
    <w:rsid w:val="61831147"/>
    <w:rsid w:val="61E37639"/>
    <w:rsid w:val="62527F7E"/>
    <w:rsid w:val="62885564"/>
    <w:rsid w:val="62FD48F9"/>
    <w:rsid w:val="63193856"/>
    <w:rsid w:val="64D60FDC"/>
    <w:rsid w:val="654D6F6C"/>
    <w:rsid w:val="67580AC9"/>
    <w:rsid w:val="67CE0D8B"/>
    <w:rsid w:val="68C35D33"/>
    <w:rsid w:val="690C7CD9"/>
    <w:rsid w:val="69140A20"/>
    <w:rsid w:val="6A4730B1"/>
    <w:rsid w:val="6B8E2D0B"/>
    <w:rsid w:val="6C3513D9"/>
    <w:rsid w:val="6C5B6B6F"/>
    <w:rsid w:val="6C5C0714"/>
    <w:rsid w:val="6D567658"/>
    <w:rsid w:val="6DA932C3"/>
    <w:rsid w:val="6E515A07"/>
    <w:rsid w:val="6F0B4673"/>
    <w:rsid w:val="6F765042"/>
    <w:rsid w:val="6FD60882"/>
    <w:rsid w:val="70002AE1"/>
    <w:rsid w:val="70016B46"/>
    <w:rsid w:val="706D3841"/>
    <w:rsid w:val="71FF40AB"/>
    <w:rsid w:val="7201713F"/>
    <w:rsid w:val="73D414D7"/>
    <w:rsid w:val="740C0C71"/>
    <w:rsid w:val="747E0F5A"/>
    <w:rsid w:val="75153B55"/>
    <w:rsid w:val="75391E14"/>
    <w:rsid w:val="756265F3"/>
    <w:rsid w:val="773C4A9A"/>
    <w:rsid w:val="77FA7033"/>
    <w:rsid w:val="780476C3"/>
    <w:rsid w:val="78970D25"/>
    <w:rsid w:val="791D122B"/>
    <w:rsid w:val="79BA3B4F"/>
    <w:rsid w:val="7A31005E"/>
    <w:rsid w:val="7A5213A8"/>
    <w:rsid w:val="7A6F5AB6"/>
    <w:rsid w:val="7AA13483"/>
    <w:rsid w:val="7ABE07EB"/>
    <w:rsid w:val="7B753F7B"/>
    <w:rsid w:val="7B8D79B4"/>
    <w:rsid w:val="7CE5260A"/>
    <w:rsid w:val="7DC260D5"/>
    <w:rsid w:val="7E056FD7"/>
    <w:rsid w:val="7E282543"/>
    <w:rsid w:val="7E8A7906"/>
    <w:rsid w:val="7E975E8D"/>
    <w:rsid w:val="7EF96F73"/>
    <w:rsid w:val="7F9F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50" w:beforeLines="50" w:after="50" w:afterLines="50"/>
      <w:outlineLvl w:val="2"/>
    </w:pPr>
    <w:rPr>
      <w:rFonts w:eastAsia="方正仿宋简体"/>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sz w:val="28"/>
      <w:szCs w:val="2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20"/>
    <w:rPr>
      <w:i/>
    </w:rPr>
  </w:style>
  <w:style w:type="paragraph" w:customStyle="1" w:styleId="10">
    <w:name w:val="列出段落1"/>
    <w:basedOn w:val="1"/>
    <w:qFormat/>
    <w:uiPriority w:val="34"/>
    <w:pPr>
      <w:ind w:firstLine="420" w:firstLineChars="200"/>
    </w:pPr>
  </w:style>
  <w:style w:type="character" w:customStyle="1" w:styleId="11">
    <w:name w:val="页眉 Char"/>
    <w:basedOn w:val="8"/>
    <w:link w:val="5"/>
    <w:qFormat/>
    <w:uiPriority w:val="99"/>
    <w:rPr>
      <w:kern w:val="2"/>
      <w:sz w:val="18"/>
      <w:szCs w:val="18"/>
    </w:rPr>
  </w:style>
  <w:style w:type="character" w:customStyle="1" w:styleId="12">
    <w:name w:val="页脚 Char"/>
    <w:basedOn w:val="8"/>
    <w:link w:val="4"/>
    <w:qFormat/>
    <w:uiPriority w:val="99"/>
    <w:rPr>
      <w:kern w:val="2"/>
      <w:sz w:val="18"/>
      <w:szCs w:val="18"/>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719</Words>
  <Characters>4099</Characters>
  <Lines>34</Lines>
  <Paragraphs>9</Paragraphs>
  <TotalTime>15</TotalTime>
  <ScaleCrop>false</ScaleCrop>
  <LinksUpToDate>false</LinksUpToDate>
  <CharactersWithSpaces>4809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2021-10-29T07:05:00Z</dcterms:created>
  <dc:creator>胡纤纤</dc:creator>
  <cp:lastModifiedBy>姣姣</cp:lastModifiedBy>
  <dcterms:modified xsi:type="dcterms:W3CDTF">2022-05-13T04:03:27Z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838A19D6873447C8BEE5E13FBE63C3C4</vt:lpwstr>
  </property>
</Properties>
</file>