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ascii="黑体" w:hAnsi="黑体" w:eastAsia="黑体" w:cs="宋体"/>
          <w:spacing w:val="30"/>
          <w:kern w:val="0"/>
          <w:sz w:val="32"/>
          <w:szCs w:val="32"/>
        </w:rPr>
      </w:pPr>
      <w:r>
        <w:rPr>
          <w:rFonts w:hint="eastAsia" w:ascii="黑体" w:hAnsi="黑体" w:eastAsia="黑体" w:cs="宋体"/>
          <w:b/>
          <w:bCs/>
          <w:spacing w:val="30"/>
          <w:kern w:val="0"/>
          <w:sz w:val="36"/>
          <w:szCs w:val="36"/>
        </w:rPr>
        <w:t>个人所得税汇算清缴干货盘点</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一、年度汇算的内容</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年度终了后，居民个人（以下称纳税人）需要汇总202</w:t>
      </w:r>
      <w:r>
        <w:rPr>
          <w:rFonts w:hint="eastAsia" w:ascii="仿宋" w:hAnsi="仿宋" w:eastAsia="仿宋"/>
          <w:sz w:val="30"/>
          <w:szCs w:val="30"/>
          <w:lang w:val="en-US" w:eastAsia="zh-CN"/>
        </w:rPr>
        <w:t>3</w:t>
      </w:r>
      <w:r>
        <w:rPr>
          <w:rFonts w:hint="eastAsia" w:ascii="仿宋" w:hAnsi="仿宋" w:eastAsia="仿宋"/>
          <w:sz w:val="30"/>
          <w:szCs w:val="30"/>
        </w:rPr>
        <w:t>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w:t>
      </w:r>
      <w:r>
        <w:rPr>
          <w:rFonts w:hint="eastAsia" w:ascii="仿宋" w:hAnsi="仿宋" w:eastAsia="仿宋"/>
          <w:sz w:val="30"/>
          <w:szCs w:val="30"/>
          <w:lang w:val="en-US" w:eastAsia="zh-CN"/>
        </w:rPr>
        <w:t>3</w:t>
      </w:r>
      <w:r>
        <w:rPr>
          <w:rFonts w:hint="eastAsia" w:ascii="仿宋" w:hAnsi="仿宋" w:eastAsia="仿宋"/>
          <w:sz w:val="30"/>
          <w:szCs w:val="30"/>
        </w:rPr>
        <w:t>年已预缴税额，得出应退或应补税额，向税务机关申报并办理退税或补税。具体计算公式如下：</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sz w:val="30"/>
          <w:szCs w:val="30"/>
        </w:rPr>
        <w:drawing>
          <wp:anchor distT="0" distB="0" distL="114300" distR="114300" simplePos="0" relativeHeight="251659264" behindDoc="0" locked="0" layoutInCell="1" allowOverlap="1">
            <wp:simplePos x="0" y="0"/>
            <wp:positionH relativeFrom="column">
              <wp:posOffset>259715</wp:posOffset>
            </wp:positionH>
            <wp:positionV relativeFrom="paragraph">
              <wp:posOffset>859155</wp:posOffset>
            </wp:positionV>
            <wp:extent cx="4599940" cy="4044950"/>
            <wp:effectExtent l="0" t="0" r="10160" b="1270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4599940" cy="4044950"/>
                    </a:xfrm>
                    <a:prstGeom prst="rect">
                      <a:avLst/>
                    </a:prstGeom>
                    <a:noFill/>
                    <a:ln w="9525">
                      <a:noFill/>
                      <a:miter lim="800000"/>
                      <a:headEnd/>
                      <a:tailEnd/>
                    </a:ln>
                  </pic:spPr>
                </pic:pic>
              </a:graphicData>
            </a:graphic>
          </wp:anchor>
        </w:drawing>
      </w:r>
      <w:r>
        <w:rPr>
          <w:rFonts w:hint="eastAsia" w:ascii="仿宋" w:hAnsi="仿宋" w:eastAsia="仿宋"/>
          <w:b/>
          <w:sz w:val="30"/>
          <w:szCs w:val="30"/>
        </w:rPr>
        <w:t>应退</w:t>
      </w:r>
      <w:r>
        <w:rPr>
          <w:rFonts w:hint="eastAsia" w:ascii="仿宋" w:hAnsi="仿宋" w:eastAsia="仿宋"/>
          <w:b/>
          <w:sz w:val="30"/>
          <w:szCs w:val="30"/>
          <w:lang w:eastAsia="zh-CN"/>
        </w:rPr>
        <w:t>、</w:t>
      </w:r>
      <w:r>
        <w:rPr>
          <w:rFonts w:hint="eastAsia" w:ascii="仿宋" w:hAnsi="仿宋" w:eastAsia="仿宋"/>
          <w:b/>
          <w:sz w:val="30"/>
          <w:szCs w:val="30"/>
          <w:lang w:val="en-US" w:eastAsia="zh-CN"/>
        </w:rPr>
        <w:t>补</w:t>
      </w:r>
      <w:r>
        <w:rPr>
          <w:rFonts w:hint="eastAsia" w:ascii="仿宋" w:hAnsi="仿宋" w:eastAsia="仿宋"/>
          <w:b/>
          <w:sz w:val="30"/>
          <w:szCs w:val="30"/>
        </w:rPr>
        <w:t>税额=[（综合所得收入额-60000元-三险两金-子女教育等专项附加扣除）×适用税率-速算扣除数]-已预缴税额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年度汇算不涉及经营所得、利息股利红利所得、财产租赁所得、以及纳税人按规定选择不并入综合所得计算纳税的所得。</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二、无需办理年度汇算的情形</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纳税人在纳税年度内已依法预缴个人所得税且符合下列情形之一的，无需办理年度汇算：</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（一）年度汇算需补税但综合所得收入全年不超过12万元的；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（二）年度汇算需补税金额不超过400元的；</w:t>
      </w:r>
      <w:bookmarkStart w:id="0" w:name="_GoBack"/>
      <w:bookmarkEnd w:id="0"/>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（三）已预缴税额与年度汇算应纳税额一致的；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（四）符合年度汇算退税条件但不申请退税的。</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三、需要办理年度汇算的情形</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符合下列情形之一的，纳税人需办理年度汇算：</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b/>
          <w:sz w:val="30"/>
          <w:szCs w:val="30"/>
        </w:rPr>
        <w:t>（一）涉及退税的情况：预缴税额高于应纳税额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1.个人综合所得年收入不超过6万元，但平时已经预扣过个人所得税的；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2.有符合条件的专项附加扣除，但平预缴个人所得税时没有及时填报和申报，导致没有扣除专项附加的；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3.因年中就业、离职或部分月份无收入等原因，减除费用6万元、三险两金、专项附加扣除等项目扣除不充分的；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4.没有任职受雇单位，仅取得劳务报酬、稿酬、特许权使用费所得，需要通过年度汇算清缴办理各种税前扣除的；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5.预缴税款时，未申报享受或者未足额享受综合所得税收优惠的，比如：残疾人减征个人所得税优惠等；</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lang w:eastAsia="zh-CN"/>
        </w:rPr>
      </w:pPr>
      <w:r>
        <w:rPr>
          <w:rFonts w:hint="eastAsia" w:ascii="仿宋" w:hAnsi="仿宋" w:eastAsia="仿宋"/>
          <w:sz w:val="30"/>
          <w:szCs w:val="30"/>
        </w:rPr>
        <w:t>6.有符合条件的公益慈善事业捐赠支出，但预交时未办理扣除的</w:t>
      </w:r>
      <w:r>
        <w:rPr>
          <w:rFonts w:hint="eastAsia" w:ascii="仿宋" w:hAnsi="仿宋" w:eastAsia="仿宋"/>
          <w:sz w:val="30"/>
          <w:szCs w:val="30"/>
          <w:lang w:eastAsia="zh-CN"/>
        </w:rPr>
        <w:t>。</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b/>
          <w:sz w:val="30"/>
          <w:szCs w:val="30"/>
        </w:rPr>
        <w:t>（二）涉及补税的情况：预缴税额小于应纳税额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1.在两个及以上单位任职受雇并领取工资薪金，预交税款时重复扣除了减除费用（每月5000）的；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2.除工资薪金外，纳税人还有劳务报酬、稿酬、特许权使用费所得，在预缴税款时没有及时统计并申报的；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3.纳税年度内取得的综合所得收入超过12万元且需要补税金额超过400元的。</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因适用所得项目错误或者扣缴义务人未依法履行扣缴义务，造成纳税年度内少申报或者未申报综合所得的，纳税人应当依法据实办理年度汇算。</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w:t>
      </w:r>
      <w:r>
        <w:rPr>
          <w:rFonts w:hint="eastAsia" w:ascii="仿宋" w:hAnsi="仿宋" w:eastAsia="仿宋"/>
          <w:b/>
          <w:sz w:val="30"/>
          <w:szCs w:val="30"/>
        </w:rPr>
        <w:t>温馨提示：</w:t>
      </w:r>
      <w:r>
        <w:rPr>
          <w:rFonts w:hint="eastAsia" w:ascii="仿宋" w:hAnsi="仿宋" w:eastAsia="仿宋"/>
          <w:sz w:val="30"/>
          <w:szCs w:val="30"/>
        </w:rPr>
        <w:t>离退休人员和学生取得劳务报酬时可能产生了预扣税款，只要全年收入不超过6万的，这部分税款都可以通过汇算清缴退回。请离退休处和各学院务必提醒相关老同志和学生进行汇算操作。】</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四、可享受的税前扣除</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下列在纳税年度内发生的，且未申报扣除或未足额扣除的税前扣除项目，纳税人可在年度汇算期间填报扣除或补充扣除：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（一） 减除费用6万元，以及符合条件的基本养老保险、基本医疗保险、失业保险等社会保险费和住房公积金等专项扣除；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（二） 符合条件的3岁以下婴幼儿照护、子女教育、继续教育、大病医疗、住房贷款利息或住房租金、赡养老人专项附加扣除；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（三） 符合条件的企业年金和职业年金、商业健康保险、个人养老金等其他扣除；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（四）符合条件的公益慈善事业捐赠。</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同时取得综合所得和经营所得的纳税人，可在综合所得或经营所得中申报减除费用6万元、专项扣除、专项附加扣除以及依法确定的其他扣除，但不得重复申报减除。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atLeast"/>
        <w:ind w:firstLine="600" w:firstLineChars="200"/>
        <w:jc w:val="both"/>
        <w:textAlignment w:val="auto"/>
        <w:rPr>
          <w:rFonts w:hint="eastAsia" w:ascii="仿宋" w:hAnsi="仿宋" w:eastAsia="仿宋"/>
          <w:b w:val="0"/>
          <w:bCs w:val="0"/>
          <w:sz w:val="30"/>
          <w:szCs w:val="30"/>
        </w:rPr>
      </w:pPr>
      <w:r>
        <w:rPr>
          <w:rFonts w:hint="eastAsia" w:ascii="仿宋" w:hAnsi="仿宋" w:eastAsia="仿宋"/>
          <w:b w:val="0"/>
          <w:bCs w:val="0"/>
          <w:sz w:val="30"/>
          <w:szCs w:val="30"/>
        </w:rPr>
        <w:t>纳税人与其配偶共同填报3岁以下婴幼儿照护、子女教育、大病医疗、住房贷款利息及住房租金等专项附加扣除的，以及与兄弟姐妹共同填报赡养老人专项附加扣除的，需要与其他填报人沟通填报扣除金额，避免超过规定额度或比例填报专项附加扣除。纳税人填报不符合规定的，一经发现，税务机关将通过手机个人所得税APP、自然人电子税务局网站或者扣缴义务人等渠道进行提示提醒。根据《财政部 税务总局关于个人所得税综合所得汇算清缴涉及有关政策问题的公告》（2019年第94号）有关规定，对于拒不更正或者不说明情况的纳税人，税务机关将暂停其享受专项附加扣除。纳税人按规定更正相关信息或者说明情况后，可继续享受专项附加扣除。</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五、办理时间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00" w:firstLineChars="200"/>
        <w:jc w:val="both"/>
        <w:textAlignment w:val="auto"/>
        <w:rPr>
          <w:rFonts w:ascii="仿宋" w:hAnsi="仿宋" w:eastAsia="仿宋"/>
          <w:sz w:val="30"/>
          <w:szCs w:val="30"/>
        </w:rPr>
      </w:pPr>
      <w:r>
        <w:rPr>
          <w:rFonts w:hint="eastAsia" w:ascii="仿宋" w:hAnsi="仿宋" w:eastAsia="仿宋"/>
          <w:sz w:val="30"/>
          <w:szCs w:val="30"/>
        </w:rPr>
        <w:t>年度汇算办理时间为202</w:t>
      </w:r>
      <w:r>
        <w:rPr>
          <w:rFonts w:hint="eastAsia" w:ascii="仿宋" w:hAnsi="仿宋" w:eastAsia="仿宋"/>
          <w:sz w:val="30"/>
          <w:szCs w:val="30"/>
          <w:lang w:val="en-US" w:eastAsia="zh-CN"/>
        </w:rPr>
        <w:t>4</w:t>
      </w:r>
      <w:r>
        <w:rPr>
          <w:rFonts w:hint="eastAsia" w:ascii="仿宋" w:hAnsi="仿宋" w:eastAsia="仿宋"/>
          <w:sz w:val="30"/>
          <w:szCs w:val="30"/>
        </w:rPr>
        <w:t>年3月1日至6月30日。</w:t>
      </w:r>
    </w:p>
    <w:p>
      <w:pPr>
        <w:pStyle w:val="5"/>
        <w:shd w:val="clear" w:color="auto" w:fill="FFFFFF"/>
        <w:spacing w:before="0" w:beforeAutospacing="0" w:after="0" w:afterAutospacing="0" w:line="540" w:lineRule="atLeast"/>
        <w:ind w:firstLine="480"/>
        <w:jc w:val="center"/>
        <w:rPr>
          <w:rFonts w:ascii="黑体" w:hAnsi="黑体" w:eastAsia="黑体"/>
          <w:b/>
          <w:bCs/>
          <w:spacing w:val="30"/>
          <w:sz w:val="36"/>
          <w:szCs w:val="36"/>
        </w:rPr>
      </w:pPr>
      <w:r>
        <w:rPr>
          <w:rFonts w:hint="eastAsia" w:ascii="黑体" w:hAnsi="黑体" w:eastAsia="黑体"/>
          <w:b/>
          <w:bCs/>
          <w:spacing w:val="30"/>
          <w:sz w:val="36"/>
          <w:szCs w:val="36"/>
        </w:rPr>
        <w:t>自行通过个税APP报税操作指南</w:t>
      </w:r>
    </w:p>
    <w:p>
      <w:pPr>
        <w:spacing w:line="500" w:lineRule="exact"/>
        <w:jc w:val="left"/>
        <w:rPr>
          <w:rFonts w:ascii="仿宋" w:hAnsi="仿宋" w:eastAsia="仿宋"/>
          <w:b/>
          <w:sz w:val="30"/>
          <w:szCs w:val="30"/>
        </w:rPr>
      </w:pPr>
      <w:r>
        <w:rPr>
          <w:rFonts w:ascii="仿宋" w:hAnsi="仿宋" w:eastAsia="仿宋"/>
          <w:b/>
          <w:sz w:val="30"/>
          <w:szCs w:val="30"/>
        </w:rPr>
        <w:t>一</w:t>
      </w:r>
      <w:r>
        <w:rPr>
          <w:rFonts w:hint="eastAsia" w:ascii="仿宋" w:hAnsi="仿宋" w:eastAsia="仿宋"/>
          <w:b/>
          <w:sz w:val="30"/>
          <w:szCs w:val="30"/>
        </w:rPr>
        <w:t>、下载安装：</w:t>
      </w:r>
    </w:p>
    <w:p>
      <w:pPr>
        <w:spacing w:line="500" w:lineRule="exact"/>
        <w:ind w:firstLine="600" w:firstLineChars="200"/>
        <w:jc w:val="left"/>
        <w:rPr>
          <w:rFonts w:ascii="仿宋" w:hAnsi="仿宋" w:eastAsia="仿宋"/>
          <w:sz w:val="30"/>
          <w:szCs w:val="30"/>
        </w:rPr>
      </w:pPr>
      <w:r>
        <w:rPr>
          <w:rFonts w:ascii="仿宋" w:hAnsi="仿宋" w:eastAsia="仿宋"/>
          <w:sz w:val="30"/>
          <w:szCs w:val="30"/>
        </w:rPr>
        <w:drawing>
          <wp:anchor distT="0" distB="0" distL="114300" distR="114300" simplePos="0" relativeHeight="251660288" behindDoc="0" locked="0" layoutInCell="1" allowOverlap="1">
            <wp:simplePos x="0" y="0"/>
            <wp:positionH relativeFrom="column">
              <wp:posOffset>1752600</wp:posOffset>
            </wp:positionH>
            <wp:positionV relativeFrom="paragraph">
              <wp:posOffset>741680</wp:posOffset>
            </wp:positionV>
            <wp:extent cx="1457325" cy="1457325"/>
            <wp:effectExtent l="19050" t="0" r="9525" b="0"/>
            <wp:wrapNone/>
            <wp:docPr id="2" name="图片 4" descr="https://mmbiz.qpic.cn/mmbiz_jpg/b1t8xWwxoZYgubuYSno32ZmknGliaZxLFUqjibnia0JHKLx2mpFicKVaibfWLCu9Bb3E6ZEHMeEFmEHCXWRCYH783GQ/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https://mmbiz.qpic.cn/mmbiz_jpg/b1t8xWwxoZYgubuYSno32ZmknGliaZxLFUqjibnia0JHKLx2mpFicKVaibfWLCu9Bb3E6ZEHMeEFmEHCXWRCYH783GQ/640?wx_fmt=jpeg&amp;wxfrom=5&amp;wx_lazy=1&amp;wx_co=1"/>
                    <pic:cNvPicPr>
                      <a:picLocks noChangeAspect="1" noChangeArrowheads="1"/>
                    </pic:cNvPicPr>
                  </pic:nvPicPr>
                  <pic:blipFill>
                    <a:blip r:embed="rId5"/>
                    <a:srcRect/>
                    <a:stretch>
                      <a:fillRect/>
                    </a:stretch>
                  </pic:blipFill>
                  <pic:spPr>
                    <a:xfrm>
                      <a:off x="0" y="0"/>
                      <a:ext cx="1457325" cy="1457325"/>
                    </a:xfrm>
                    <a:prstGeom prst="rect">
                      <a:avLst/>
                    </a:prstGeom>
                    <a:noFill/>
                    <a:ln w="9525">
                      <a:noFill/>
                      <a:miter lim="800000"/>
                      <a:headEnd/>
                      <a:tailEnd/>
                    </a:ln>
                  </pic:spPr>
                </pic:pic>
              </a:graphicData>
            </a:graphic>
          </wp:anchor>
        </w:drawing>
      </w:r>
      <w:r>
        <w:rPr>
          <w:rFonts w:ascii="仿宋" w:hAnsi="仿宋" w:eastAsia="仿宋"/>
          <w:sz w:val="30"/>
          <w:szCs w:val="30"/>
        </w:rPr>
        <w:t>如果手机内没有安装</w:t>
      </w:r>
      <w:r>
        <w:rPr>
          <w:rFonts w:hint="eastAsia" w:ascii="仿宋" w:hAnsi="仿宋" w:eastAsia="仿宋"/>
          <w:sz w:val="30"/>
          <w:szCs w:val="30"/>
        </w:rPr>
        <w:t>“个人所得税”APP的，可以微信扫描下方二维码下载APP，或者在手机应用商店中搜索“个人所得税”下载安装。</w:t>
      </w: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b/>
          <w:sz w:val="30"/>
          <w:szCs w:val="30"/>
        </w:rPr>
      </w:pPr>
      <w:r>
        <w:rPr>
          <w:rFonts w:hint="eastAsia" w:ascii="仿宋" w:hAnsi="仿宋" w:eastAsia="仿宋"/>
          <w:b/>
          <w:sz w:val="30"/>
          <w:szCs w:val="30"/>
        </w:rPr>
        <w:t>二、登陆绑卡：</w:t>
      </w:r>
    </w:p>
    <w:p>
      <w:pPr>
        <w:spacing w:line="500" w:lineRule="exact"/>
        <w:ind w:firstLine="585"/>
        <w:jc w:val="left"/>
        <w:rPr>
          <w:rFonts w:ascii="仿宋" w:hAnsi="仿宋" w:eastAsia="仿宋"/>
          <w:sz w:val="30"/>
          <w:szCs w:val="30"/>
        </w:rPr>
      </w:pPr>
      <w:r>
        <w:rPr>
          <w:rFonts w:hint="eastAsia" w:ascii="仿宋" w:hAnsi="仿宋" w:eastAsia="仿宋"/>
          <w:sz w:val="30"/>
          <w:szCs w:val="30"/>
        </w:rPr>
        <w:t>首先点击下方“</w:t>
      </w:r>
      <w:r>
        <w:rPr>
          <w:rFonts w:hint="eastAsia" w:ascii="仿宋" w:hAnsi="仿宋" w:eastAsia="仿宋"/>
          <w:sz w:val="30"/>
          <w:szCs w:val="30"/>
          <w:lang w:val="en-US" w:eastAsia="zh-CN"/>
        </w:rPr>
        <w:t>我的</w:t>
      </w:r>
      <w:r>
        <w:rPr>
          <w:rFonts w:hint="eastAsia" w:ascii="仿宋" w:hAnsi="仿宋" w:eastAsia="仿宋"/>
          <w:sz w:val="30"/>
          <w:szCs w:val="30"/>
        </w:rPr>
        <w:t>”，登陆自己的账号，没有账号的需要先注册一个。登陆之后绑定自己的银行卡（税务局建议尽量使用中央四大行的银行卡：中国工商银行、中国农业银行、中国银行、中国建设银行），因涉及到退税能否及时到账的问题，银行卡号信息请务必填报准确。</w:t>
      </w:r>
    </w:p>
    <w:p>
      <w:pPr>
        <w:spacing w:line="500" w:lineRule="exact"/>
        <w:jc w:val="left"/>
        <w:rPr>
          <w:rFonts w:ascii="仿宋" w:hAnsi="仿宋" w:eastAsia="仿宋"/>
          <w:b/>
          <w:sz w:val="30"/>
          <w:szCs w:val="30"/>
        </w:rPr>
      </w:pPr>
      <w:r>
        <w:drawing>
          <wp:anchor distT="0" distB="0" distL="114300" distR="114300" simplePos="0" relativeHeight="251665408" behindDoc="0" locked="0" layoutInCell="1" allowOverlap="1">
            <wp:simplePos x="0" y="0"/>
            <wp:positionH relativeFrom="column">
              <wp:posOffset>3514725</wp:posOffset>
            </wp:positionH>
            <wp:positionV relativeFrom="paragraph">
              <wp:posOffset>152400</wp:posOffset>
            </wp:positionV>
            <wp:extent cx="1934210" cy="3785870"/>
            <wp:effectExtent l="0" t="0" r="8890" b="50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934210" cy="3785870"/>
                    </a:xfrm>
                    <a:prstGeom prst="rect">
                      <a:avLst/>
                    </a:prstGeom>
                    <a:noFill/>
                    <a:ln>
                      <a:noFill/>
                    </a:ln>
                  </pic:spPr>
                </pic:pic>
              </a:graphicData>
            </a:graphic>
          </wp:anchor>
        </w:drawing>
      </w:r>
      <w:r>
        <w:rPr>
          <w:rFonts w:hint="eastAsia" w:ascii="仿宋" w:hAnsi="仿宋" w:eastAsia="仿宋"/>
          <w:b/>
          <w:sz w:val="30"/>
          <w:szCs w:val="30"/>
        </w:rPr>
        <w:t>三、汇算清缴操作</w:t>
      </w:r>
    </w:p>
    <w:p>
      <w:pPr>
        <w:spacing w:line="500" w:lineRule="exact"/>
        <w:jc w:val="left"/>
        <w:rPr>
          <w:rFonts w:ascii="仿宋" w:hAnsi="仿宋" w:eastAsia="仿宋"/>
          <w:sz w:val="30"/>
          <w:szCs w:val="30"/>
        </w:rPr>
      </w:pPr>
      <w:r>
        <w:rPr>
          <w:rFonts w:hint="eastAsia" w:ascii="仿宋" w:hAnsi="仿宋" w:eastAsia="仿宋"/>
          <w:sz w:val="30"/>
          <w:szCs w:val="30"/>
        </w:rPr>
        <w:t>1、进入首页，可选择最上方专题页：202</w:t>
      </w:r>
      <w:r>
        <w:rPr>
          <w:rFonts w:hint="eastAsia" w:ascii="仿宋" w:hAnsi="仿宋" w:eastAsia="仿宋"/>
          <w:sz w:val="30"/>
          <w:szCs w:val="30"/>
          <w:lang w:val="en-US" w:eastAsia="zh-CN"/>
        </w:rPr>
        <w:t>3</w:t>
      </w:r>
      <w:r>
        <w:rPr>
          <w:rFonts w:hint="eastAsia" w:ascii="仿宋" w:hAnsi="仿宋" w:eastAsia="仿宋"/>
          <w:sz w:val="30"/>
          <w:szCs w:val="30"/>
        </w:rPr>
        <w:t>综合所得年度汇算，也可以选择下方</w:t>
      </w:r>
      <w:r>
        <w:rPr>
          <w:rFonts w:hint="eastAsia" w:ascii="仿宋" w:hAnsi="仿宋" w:eastAsia="仿宋"/>
          <w:sz w:val="30"/>
          <w:szCs w:val="30"/>
          <w:lang w:val="en-US" w:eastAsia="zh-CN"/>
        </w:rPr>
        <w:t>重点服务推荐</w:t>
      </w:r>
      <w:r>
        <w:rPr>
          <w:rFonts w:hint="eastAsia" w:ascii="仿宋" w:hAnsi="仿宋" w:eastAsia="仿宋"/>
          <w:sz w:val="30"/>
          <w:szCs w:val="30"/>
        </w:rPr>
        <w:t>中的“综合所得年度汇算”，然后进入个人所得税年度自行申报页面。</w:t>
      </w:r>
    </w:p>
    <w:p>
      <w:pPr>
        <w:spacing w:line="500" w:lineRule="exact"/>
        <w:jc w:val="left"/>
        <w:rPr>
          <w:rFonts w:ascii="仿宋" w:hAnsi="仿宋" w:eastAsia="仿宋"/>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t>2、选择填报方式，建议选择“使用申报数据进行填报”，也可以是“自行填写”；此页面您可以点击“查看收入纳税数据”，展示“收入纳税数据”和“专项附加扣除采集记录”。</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drawing>
          <wp:anchor distT="0" distB="0" distL="114300" distR="114300" simplePos="0" relativeHeight="251661312" behindDoc="0" locked="0" layoutInCell="1" allowOverlap="1">
            <wp:simplePos x="0" y="0"/>
            <wp:positionH relativeFrom="column">
              <wp:posOffset>3305810</wp:posOffset>
            </wp:positionH>
            <wp:positionV relativeFrom="paragraph">
              <wp:posOffset>31115</wp:posOffset>
            </wp:positionV>
            <wp:extent cx="2000250" cy="2705100"/>
            <wp:effectExtent l="0" t="0" r="0" b="0"/>
            <wp:wrapSquare wrapText="bothSides"/>
            <wp:docPr id="13" name="图片 13" descr="https://mmbiz.qpic.cn/mmbiz_jpg/b1t8xWwxoZYgubuYSno32ZmknGliaZxLFfrVsBB1IZEibicK4PHpWBV7JyGHE4TIlOfQZZUq3tFsDqULc7YAQnvQw/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mmbiz.qpic.cn/mmbiz_jpg/b1t8xWwxoZYgubuYSno32ZmknGliaZxLFfrVsBB1IZEibicK4PHpWBV7JyGHE4TIlOfQZZUq3tFsDqULc7YAQnvQw/640?wx_fmt=jpeg&amp;wxfrom=5&amp;wx_lazy=1&amp;wx_co=1"/>
                    <pic:cNvPicPr>
                      <a:picLocks noChangeAspect="1" noChangeArrowheads="1"/>
                    </pic:cNvPicPr>
                  </pic:nvPicPr>
                  <pic:blipFill>
                    <a:blip r:embed="rId7"/>
                    <a:srcRect b="29353"/>
                    <a:stretch>
                      <a:fillRect/>
                    </a:stretch>
                  </pic:blipFill>
                  <pic:spPr>
                    <a:xfrm>
                      <a:off x="0" y="0"/>
                      <a:ext cx="2000250" cy="2705100"/>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3、弹出“标准申报须知”，勾选“我已知晓并同意”，点击“进入申报”。选择填报方式，“我需要申报表预填服务”或“我要填报空白申报表”。</w:t>
      </w:r>
      <w:r>
        <w:rPr>
          <w:rFonts w:hint="eastAsia" w:ascii="仿宋" w:hAnsi="仿宋" w:eastAsia="仿宋" w:cstheme="minorBidi"/>
          <w:b/>
          <w:bCs/>
          <w:kern w:val="2"/>
          <w:sz w:val="30"/>
          <w:szCs w:val="30"/>
        </w:rPr>
        <w:t>建议选择“我需要申报表预填服务”：</w:t>
      </w:r>
      <w:r>
        <w:rPr>
          <w:rFonts w:hint="eastAsia" w:ascii="仿宋" w:hAnsi="仿宋" w:eastAsia="仿宋" w:cstheme="minorBidi"/>
          <w:kern w:val="2"/>
          <w:sz w:val="30"/>
          <w:szCs w:val="30"/>
        </w:rPr>
        <w:t>在网上税务局，税务机关已把符合条件纳税人的四项综合所得的预缴申报数据，全部直接预填到了申报表，纳税人办理年度汇算更加方便快捷。</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rPr>
        <w:t>【注：全年一次性奖金设置】</w:t>
      </w:r>
    </w:p>
    <w:p>
      <w:pPr>
        <w:pStyle w:val="5"/>
        <w:shd w:val="clear" w:color="auto" w:fill="FFFFFF"/>
        <w:spacing w:before="0" w:beforeAutospacing="0" w:after="0" w:afterAutospacing="0"/>
        <w:ind w:firstLine="602" w:firstLineChars="200"/>
        <w:jc w:val="both"/>
        <w:rPr>
          <w:rFonts w:ascii="仿宋" w:hAnsi="仿宋" w:eastAsia="仿宋" w:cstheme="minorBidi"/>
          <w:kern w:val="2"/>
          <w:sz w:val="30"/>
          <w:szCs w:val="30"/>
        </w:rPr>
      </w:pPr>
      <w:r>
        <w:rPr>
          <w:rFonts w:hint="eastAsia" w:ascii="仿宋" w:hAnsi="仿宋" w:eastAsia="仿宋" w:cstheme="minorBidi"/>
          <w:b/>
          <w:bCs/>
          <w:kern w:val="2"/>
          <w:sz w:val="30"/>
          <w:szCs w:val="30"/>
        </w:rPr>
        <w:drawing>
          <wp:anchor distT="0" distB="0" distL="114300" distR="114300" simplePos="0" relativeHeight="251662336" behindDoc="0" locked="0" layoutInCell="1" allowOverlap="1">
            <wp:simplePos x="0" y="0"/>
            <wp:positionH relativeFrom="column">
              <wp:posOffset>3789680</wp:posOffset>
            </wp:positionH>
            <wp:positionV relativeFrom="paragraph">
              <wp:posOffset>349885</wp:posOffset>
            </wp:positionV>
            <wp:extent cx="1772920" cy="3495040"/>
            <wp:effectExtent l="0" t="0" r="17780" b="10160"/>
            <wp:wrapSquare wrapText="bothSides"/>
            <wp:docPr id="16" name="图片 16" descr="https://mmbiz.qpic.cn/mmbiz_jpg/b1t8xWwxoZYgubuYSno32ZmknGliaZxLFibDjzXWZc0jAKFWuDwd8sy7bgkZVOWk92yUVmMEsj8uaVkaIU4PltUQ/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s://mmbiz.qpic.cn/mmbiz_jpg/b1t8xWwxoZYgubuYSno32ZmknGliaZxLFibDjzXWZc0jAKFWuDwd8sy7bgkZVOWk92yUVmMEsj8uaVkaIU4PltUQ/640?wx_fmt=jpeg&amp;wxfrom=5&amp;wx_lazy=1&amp;wx_co=1"/>
                    <pic:cNvPicPr>
                      <a:picLocks noChangeAspect="1" noChangeArrowheads="1"/>
                    </pic:cNvPicPr>
                  </pic:nvPicPr>
                  <pic:blipFill>
                    <a:blip r:embed="rId8"/>
                    <a:srcRect/>
                    <a:stretch>
                      <a:fillRect/>
                    </a:stretch>
                  </pic:blipFill>
                  <pic:spPr>
                    <a:xfrm>
                      <a:off x="0" y="0"/>
                      <a:ext cx="1772920" cy="3495040"/>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如果您仅有一笔单独计税的全年一次性奖金，该笔奖金可以不纳入年度汇算范围。如您有多笔单独计税的全年一次性奖金，年度汇算最多只能选择其中一笔单独计税，其他需并入综合所得合并计税。 </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在使用网络途径申报时，您可以在申报表</w:t>
      </w:r>
      <w:r>
        <w:rPr>
          <w:rFonts w:hint="eastAsia" w:ascii="仿宋" w:hAnsi="仿宋" w:eastAsia="仿宋" w:cstheme="minorBidi"/>
          <w:b/>
          <w:bCs/>
          <w:kern w:val="2"/>
          <w:sz w:val="30"/>
          <w:szCs w:val="30"/>
        </w:rPr>
        <w:t>“工资薪金”项下的“奖金计税方式选择”</w:t>
      </w:r>
      <w:r>
        <w:rPr>
          <w:rFonts w:hint="eastAsia" w:ascii="仿宋" w:hAnsi="仿宋" w:eastAsia="仿宋" w:cstheme="minorBidi"/>
          <w:kern w:val="2"/>
          <w:sz w:val="30"/>
          <w:szCs w:val="30"/>
        </w:rPr>
        <w:t>中选择将单独计税的全年一次性奖金并入综合所得。当您变更全年一次性奖金的计税方式时，您的应纳税额一般而言会发生变化，请您留意。</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根据上一步的收入及减除数据，显示“应纳税额”、“减免税额”、“已缴税额”，在左下角显示具体应补（退）税额，点击“提交申报”。</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t>【</w:t>
      </w:r>
      <w:r>
        <w:rPr>
          <w:rFonts w:hint="eastAsia" w:ascii="仿宋" w:hAnsi="仿宋" w:eastAsia="仿宋" w:cstheme="minorBidi"/>
          <w:b/>
          <w:bCs/>
          <w:kern w:val="2"/>
          <w:sz w:val="30"/>
          <w:szCs w:val="30"/>
        </w:rPr>
        <w:t>享受免申报】</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drawing>
          <wp:anchor distT="0" distB="0" distL="114300" distR="114300" simplePos="0" relativeHeight="251663360" behindDoc="0" locked="0" layoutInCell="1" allowOverlap="1">
            <wp:simplePos x="0" y="0"/>
            <wp:positionH relativeFrom="column">
              <wp:posOffset>1654175</wp:posOffset>
            </wp:positionH>
            <wp:positionV relativeFrom="paragraph">
              <wp:posOffset>1291590</wp:posOffset>
            </wp:positionV>
            <wp:extent cx="3651250" cy="1304925"/>
            <wp:effectExtent l="19050" t="0" r="6350" b="0"/>
            <wp:wrapSquare wrapText="bothSides"/>
            <wp:docPr id="19" name="图片 19" descr="https://mmbiz.qpic.cn/mmbiz_jpg/b1t8xWwxoZYgubuYSno32ZmknGliaZxLFJZ9QiciavBnDfl97VJuFk7D7oqHr6TCDs54GjZNWyydEL9ANplWic1TgA/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s://mmbiz.qpic.cn/mmbiz_jpg/b1t8xWwxoZYgubuYSno32ZmknGliaZxLFJZ9QiciavBnDfl97VJuFk7D7oqHr6TCDs54GjZNWyydEL9ANplWic1TgA/640?wx_fmt=jpeg&amp;wxfrom=5&amp;wx_lazy=1&amp;wx_co=1"/>
                    <pic:cNvPicPr>
                      <a:picLocks noChangeAspect="1" noChangeArrowheads="1"/>
                    </pic:cNvPicPr>
                  </pic:nvPicPr>
                  <pic:blipFill>
                    <a:blip r:embed="rId9"/>
                    <a:srcRect/>
                    <a:stretch>
                      <a:fillRect/>
                    </a:stretch>
                  </pic:blipFill>
                  <pic:spPr>
                    <a:xfrm>
                      <a:off x="0" y="0"/>
                      <a:ext cx="3651250" cy="1304925"/>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如果您需要补税，但年度综合所得收入不超过12万元，或者应补税额≤400元，且依法预缴税额的，可享受免申报。满足免申报情况时，底端按钮如下图，点击“享受免申报”，则申报完成。</w:t>
      </w: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四</w:t>
      </w:r>
      <w:r>
        <w:rPr>
          <w:rFonts w:hint="eastAsia" w:ascii="仿宋" w:hAnsi="仿宋" w:eastAsia="仿宋" w:cstheme="minorBidi"/>
          <w:b/>
          <w:bCs/>
          <w:kern w:val="2"/>
          <w:sz w:val="30"/>
          <w:szCs w:val="30"/>
        </w:rPr>
        <w:t>、退税情况处理</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申报成功，如果退税则跳转到申报成功-退税页面，点击申请退税。选择绑定的银行卡，点击确定即可。</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五</w:t>
      </w:r>
      <w:r>
        <w:rPr>
          <w:rFonts w:hint="eastAsia" w:ascii="仿宋" w:hAnsi="仿宋" w:eastAsia="仿宋" w:cstheme="minorBidi"/>
          <w:b/>
          <w:bCs/>
          <w:kern w:val="2"/>
          <w:sz w:val="30"/>
          <w:szCs w:val="30"/>
        </w:rPr>
        <w:t>、申报查询</w:t>
      </w:r>
    </w:p>
    <w:p>
      <w:pPr>
        <w:pStyle w:val="5"/>
        <w:shd w:val="clear" w:color="auto" w:fill="FFFFFF"/>
        <w:spacing w:before="0" w:beforeAutospacing="0" w:after="0" w:afterAutospacing="0"/>
        <w:ind w:firstLine="600" w:firstLineChars="200"/>
        <w:jc w:val="both"/>
        <w:rPr>
          <w:rFonts w:hint="default" w:ascii="仿宋" w:hAnsi="仿宋" w:eastAsia="仿宋" w:cstheme="minorBidi"/>
          <w:kern w:val="2"/>
          <w:sz w:val="30"/>
          <w:szCs w:val="30"/>
          <w:lang w:val="en-US"/>
        </w:rPr>
      </w:pPr>
      <w:r>
        <w:rPr>
          <w:rFonts w:hint="eastAsia" w:ascii="仿宋" w:hAnsi="仿宋" w:eastAsia="仿宋" w:cstheme="minorBidi"/>
          <w:kern w:val="2"/>
          <w:sz w:val="30"/>
          <w:szCs w:val="30"/>
        </w:rPr>
        <w:t>查询方式：首页-“</w:t>
      </w:r>
      <w:r>
        <w:rPr>
          <w:rFonts w:hint="eastAsia" w:ascii="仿宋" w:hAnsi="仿宋" w:eastAsia="仿宋" w:cstheme="minorBidi"/>
          <w:kern w:val="2"/>
          <w:sz w:val="30"/>
          <w:szCs w:val="30"/>
          <w:lang w:val="en-US" w:eastAsia="zh-CN"/>
        </w:rPr>
        <w:t>办&amp;查</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下拉</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查询</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申报记录</w:t>
      </w:r>
      <w:r>
        <w:rPr>
          <w:rFonts w:hint="eastAsia" w:ascii="仿宋" w:hAnsi="仿宋" w:eastAsia="仿宋" w:cstheme="minorBidi"/>
          <w:kern w:val="2"/>
          <w:sz w:val="30"/>
          <w:szCs w:val="30"/>
        </w:rPr>
        <w:t>”。【注意】：只有申报成功后才能在“已完成”中查到申报</w:t>
      </w:r>
      <w:r>
        <w:rPr>
          <w:rFonts w:hint="eastAsia" w:ascii="仿宋" w:hAnsi="仿宋" w:eastAsia="仿宋" w:cstheme="minorBidi"/>
          <w:kern w:val="2"/>
          <w:sz w:val="30"/>
          <w:szCs w:val="30"/>
          <w:lang w:val="en-US" w:eastAsia="zh-CN"/>
        </w:rPr>
        <w:t>记录。</w:t>
      </w:r>
    </w:p>
    <w:p>
      <w:pPr>
        <w:pStyle w:val="5"/>
        <w:shd w:val="clear" w:color="auto" w:fill="FFFFFF"/>
        <w:spacing w:before="0" w:beforeAutospacing="0" w:after="0" w:afterAutospacing="0"/>
        <w:jc w:val="both"/>
        <w:rPr>
          <w:rFonts w:ascii="Microsoft YaHei UI" w:hAnsi="Microsoft YaHei UI" w:eastAsia="Microsoft YaHei UI"/>
          <w:color w:val="333333"/>
          <w:spacing w:val="8"/>
          <w:sz w:val="26"/>
          <w:szCs w:val="26"/>
        </w:rPr>
      </w:pPr>
      <w:r>
        <w:drawing>
          <wp:anchor distT="0" distB="0" distL="114300" distR="114300" simplePos="0" relativeHeight="251664384" behindDoc="0" locked="0" layoutInCell="1" allowOverlap="1">
            <wp:simplePos x="0" y="0"/>
            <wp:positionH relativeFrom="column">
              <wp:posOffset>2418715</wp:posOffset>
            </wp:positionH>
            <wp:positionV relativeFrom="paragraph">
              <wp:posOffset>238125</wp:posOffset>
            </wp:positionV>
            <wp:extent cx="3001010" cy="3838575"/>
            <wp:effectExtent l="0" t="0" r="8890" b="9525"/>
            <wp:wrapSquare wrapText="bothSides"/>
            <wp:docPr id="25" name="图片 25" descr="https://mmbiz.qpic.cn/mmbiz_jpg/b1t8xWwxoZYgubuYSno32ZmknGliaZxLFfLkD90etk9uRg2ibicr9S7iavre3QVEQnE8qo6R6u2EAvzGwI1xMbffQg/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s://mmbiz.qpic.cn/mmbiz_jpg/b1t8xWwxoZYgubuYSno32ZmknGliaZxLFfLkD90etk9uRg2ibicr9S7iavre3QVEQnE8qo6R6u2EAvzGwI1xMbffQg/640?wx_fmt=jpeg&amp;wxfrom=5&amp;wx_lazy=1&amp;wx_co=1"/>
                    <pic:cNvPicPr>
                      <a:picLocks noChangeAspect="1" noChangeArrowheads="1"/>
                    </pic:cNvPicPr>
                  </pic:nvPicPr>
                  <pic:blipFill>
                    <a:blip r:embed="rId10"/>
                    <a:srcRect/>
                    <a:stretch>
                      <a:fillRect/>
                    </a:stretch>
                  </pic:blipFill>
                  <pic:spPr>
                    <a:xfrm>
                      <a:off x="0" y="0"/>
                      <a:ext cx="3001010" cy="3838575"/>
                    </a:xfrm>
                    <a:prstGeom prst="rect">
                      <a:avLst/>
                    </a:prstGeom>
                    <a:noFill/>
                    <a:ln w="9525">
                      <a:noFill/>
                      <a:miter lim="800000"/>
                      <a:headEnd/>
                      <a:tailEnd/>
                    </a:ln>
                  </pic:spPr>
                </pic:pic>
              </a:graphicData>
            </a:graphic>
          </wp:anchor>
        </w:drawing>
      </w:r>
      <w:r>
        <w:drawing>
          <wp:inline distT="0" distB="0" distL="114300" distR="114300">
            <wp:extent cx="2153285" cy="4028440"/>
            <wp:effectExtent l="0" t="0" r="18415"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2153285" cy="4028440"/>
                    </a:xfrm>
                    <a:prstGeom prst="rect">
                      <a:avLst/>
                    </a:prstGeom>
                    <a:noFill/>
                    <a:ln>
                      <a:noFill/>
                    </a:ln>
                  </pic:spPr>
                </pic:pic>
              </a:graphicData>
            </a:graphic>
          </wp:inline>
        </w:drawing>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六</w:t>
      </w:r>
      <w:r>
        <w:rPr>
          <w:rFonts w:hint="eastAsia" w:ascii="仿宋" w:hAnsi="仿宋" w:eastAsia="仿宋" w:cstheme="minorBidi"/>
          <w:b/>
          <w:bCs/>
          <w:kern w:val="2"/>
          <w:sz w:val="30"/>
          <w:szCs w:val="30"/>
        </w:rPr>
        <w:t>、更正申报和作废申报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00" w:firstLineChars="200"/>
        <w:jc w:val="both"/>
        <w:textAlignment w:val="auto"/>
        <w:rPr>
          <w:rFonts w:ascii="仿宋" w:hAnsi="仿宋" w:eastAsia="仿宋" w:cstheme="minorBidi"/>
          <w:kern w:val="2"/>
          <w:sz w:val="30"/>
          <w:szCs w:val="30"/>
        </w:rPr>
      </w:pPr>
      <w:r>
        <w:rPr>
          <w:rFonts w:hint="eastAsia" w:ascii="仿宋" w:hAnsi="仿宋" w:eastAsia="仿宋" w:cstheme="minorBidi"/>
          <w:kern w:val="2"/>
          <w:sz w:val="30"/>
          <w:szCs w:val="30"/>
          <w:lang w:val="en-US" w:eastAsia="zh-CN"/>
        </w:rPr>
        <w:t>在“申报记录”中的“已完成”模块</w:t>
      </w:r>
      <w:r>
        <w:rPr>
          <w:rFonts w:hint="eastAsia" w:ascii="仿宋" w:hAnsi="仿宋" w:eastAsia="仿宋" w:cstheme="minorBidi"/>
          <w:kern w:val="2"/>
          <w:sz w:val="30"/>
          <w:szCs w:val="30"/>
        </w:rPr>
        <w:t>，选择需要</w:t>
      </w:r>
      <w:r>
        <w:rPr>
          <w:rFonts w:hint="eastAsia" w:ascii="仿宋" w:hAnsi="仿宋" w:eastAsia="仿宋" w:cstheme="minorBidi"/>
          <w:kern w:val="2"/>
          <w:sz w:val="30"/>
          <w:szCs w:val="30"/>
          <w:lang w:val="en-US" w:eastAsia="zh-CN"/>
        </w:rPr>
        <w:t>更正或者作废的记录，进行更正或者作废操作。</w:t>
      </w:r>
      <w:r>
        <w:rPr>
          <w:rFonts w:hint="eastAsia" w:ascii="仿宋" w:hAnsi="仿宋" w:eastAsia="仿宋" w:cstheme="minorBidi"/>
          <w:kern w:val="2"/>
          <w:sz w:val="30"/>
          <w:szCs w:val="30"/>
        </w:rPr>
        <w:t>注意：请确认是否作废该申报记录，作废后将不可恢复。</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七</w:t>
      </w:r>
      <w:r>
        <w:rPr>
          <w:rFonts w:hint="eastAsia" w:ascii="仿宋" w:hAnsi="仿宋" w:eastAsia="仿宋" w:cstheme="minorBidi"/>
          <w:b/>
          <w:bCs/>
          <w:kern w:val="2"/>
          <w:sz w:val="30"/>
          <w:szCs w:val="30"/>
        </w:rPr>
        <w:t>、退税到账时间</w:t>
      </w:r>
    </w:p>
    <w:p>
      <w:pPr>
        <w:pStyle w:val="5"/>
        <w:shd w:val="clear" w:color="auto" w:fill="FFFFFF"/>
        <w:spacing w:before="0" w:beforeAutospacing="0" w:after="0" w:afterAutospacing="0"/>
        <w:ind w:firstLine="600" w:firstLineChars="200"/>
        <w:jc w:val="both"/>
        <w:rPr>
          <w:rFonts w:hint="default" w:ascii="仿宋" w:hAnsi="仿宋" w:eastAsia="仿宋" w:cstheme="minorBidi"/>
          <w:kern w:val="2"/>
          <w:sz w:val="30"/>
          <w:szCs w:val="30"/>
          <w:lang w:val="en-US" w:eastAsia="zh-CN"/>
        </w:rPr>
      </w:pPr>
      <w:r>
        <w:rPr>
          <w:rFonts w:hint="eastAsia" w:ascii="仿宋" w:hAnsi="仿宋" w:eastAsia="仿宋" w:cstheme="minorBidi"/>
          <w:kern w:val="2"/>
          <w:sz w:val="30"/>
          <w:szCs w:val="30"/>
        </w:rPr>
        <w:t>一般情况下的退税申请，会在10个工作日</w:t>
      </w:r>
      <w:r>
        <w:rPr>
          <w:rFonts w:hint="eastAsia" w:ascii="仿宋" w:hAnsi="仿宋" w:eastAsia="仿宋" w:cstheme="minorBidi"/>
          <w:kern w:val="2"/>
          <w:sz w:val="30"/>
          <w:szCs w:val="30"/>
          <w:lang w:val="en-US" w:eastAsia="zh-CN"/>
        </w:rPr>
        <w:t>内</w:t>
      </w:r>
      <w:r>
        <w:rPr>
          <w:rFonts w:hint="eastAsia" w:ascii="仿宋" w:hAnsi="仿宋" w:eastAsia="仿宋" w:cstheme="minorBidi"/>
          <w:kern w:val="2"/>
          <w:sz w:val="30"/>
          <w:szCs w:val="30"/>
        </w:rPr>
        <w:t>审核通过并发放到所选银行卡上，特殊情况下30天内审核通过到账。</w:t>
      </w:r>
      <w:r>
        <w:rPr>
          <w:rFonts w:hint="eastAsia" w:ascii="仿宋" w:hAnsi="仿宋" w:eastAsia="仿宋" w:cstheme="minorBidi"/>
          <w:kern w:val="2"/>
          <w:sz w:val="30"/>
          <w:szCs w:val="30"/>
          <w:lang w:val="en-US" w:eastAsia="zh-CN"/>
        </w:rPr>
        <w:t>如果长时间未到账，请在“申报记录”中，选中对应年度清缴记录查看是否审核失败被退回，若是，查看失败原因并进行修改后重新申报，若已到账，请查看银行明细。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4OWRkNTQyZDk5OTM0MjY3MTIyMjM1ZGNjNTg0MGYifQ=="/>
  </w:docVars>
  <w:rsids>
    <w:rsidRoot w:val="001158EF"/>
    <w:rsid w:val="00035A17"/>
    <w:rsid w:val="000750D7"/>
    <w:rsid w:val="00097713"/>
    <w:rsid w:val="000C10B2"/>
    <w:rsid w:val="001158EF"/>
    <w:rsid w:val="001C6810"/>
    <w:rsid w:val="001F7A60"/>
    <w:rsid w:val="00202568"/>
    <w:rsid w:val="002211B7"/>
    <w:rsid w:val="00252EA5"/>
    <w:rsid w:val="00263CBD"/>
    <w:rsid w:val="00295D17"/>
    <w:rsid w:val="002A0C28"/>
    <w:rsid w:val="002F161B"/>
    <w:rsid w:val="003234CE"/>
    <w:rsid w:val="00391563"/>
    <w:rsid w:val="004B6D50"/>
    <w:rsid w:val="00564169"/>
    <w:rsid w:val="005A3AD1"/>
    <w:rsid w:val="005E5802"/>
    <w:rsid w:val="00622E70"/>
    <w:rsid w:val="00630EB2"/>
    <w:rsid w:val="006B2E66"/>
    <w:rsid w:val="007B566C"/>
    <w:rsid w:val="007F230C"/>
    <w:rsid w:val="00804762"/>
    <w:rsid w:val="008C2129"/>
    <w:rsid w:val="008D5B3E"/>
    <w:rsid w:val="008D70AF"/>
    <w:rsid w:val="00931C6B"/>
    <w:rsid w:val="009877D9"/>
    <w:rsid w:val="009B37A3"/>
    <w:rsid w:val="009D4952"/>
    <w:rsid w:val="009D7672"/>
    <w:rsid w:val="00A32F3B"/>
    <w:rsid w:val="00A72744"/>
    <w:rsid w:val="00A87BE9"/>
    <w:rsid w:val="00BC625B"/>
    <w:rsid w:val="00CB177F"/>
    <w:rsid w:val="00CE0D13"/>
    <w:rsid w:val="00DA3870"/>
    <w:rsid w:val="00E01AE5"/>
    <w:rsid w:val="00EE52FC"/>
    <w:rsid w:val="00F04B86"/>
    <w:rsid w:val="00FB7EA3"/>
    <w:rsid w:val="00FE6472"/>
    <w:rsid w:val="00FF5386"/>
    <w:rsid w:val="06FB62C0"/>
    <w:rsid w:val="08AA23AF"/>
    <w:rsid w:val="08E720CC"/>
    <w:rsid w:val="107439CE"/>
    <w:rsid w:val="1B5B5EB7"/>
    <w:rsid w:val="21FA5CFD"/>
    <w:rsid w:val="22255FDC"/>
    <w:rsid w:val="29CE019B"/>
    <w:rsid w:val="2BF0264B"/>
    <w:rsid w:val="2CA368AB"/>
    <w:rsid w:val="2F8C268B"/>
    <w:rsid w:val="32D700C1"/>
    <w:rsid w:val="335C05C6"/>
    <w:rsid w:val="368045CB"/>
    <w:rsid w:val="44254A04"/>
    <w:rsid w:val="48643D4D"/>
    <w:rsid w:val="559C5CF1"/>
    <w:rsid w:val="5B1A029B"/>
    <w:rsid w:val="5B9E0ECC"/>
    <w:rsid w:val="5CF3349A"/>
    <w:rsid w:val="62CA4AEE"/>
    <w:rsid w:val="62FA5334"/>
    <w:rsid w:val="6D521B17"/>
    <w:rsid w:val="707029DF"/>
    <w:rsid w:val="70AB7EBB"/>
    <w:rsid w:val="77C6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autoRedefine/>
    <w:semiHidden/>
    <w:qFormat/>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436</Words>
  <Characters>2486</Characters>
  <Lines>20</Lines>
  <Paragraphs>5</Paragraphs>
  <TotalTime>8</TotalTime>
  <ScaleCrop>false</ScaleCrop>
  <LinksUpToDate>false</LinksUpToDate>
  <CharactersWithSpaces>2917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2022-02-28T02:13:00Z</dcterms:created>
  <dc:creator>lenovo</dc:creator>
  <cp:lastModifiedBy>Tvirus维罗尼卡</cp:lastModifiedBy>
  <cp:lastPrinted>2024-03-05T02:51:06Z</cp:lastPrinted>
  <dcterms:modified xsi:type="dcterms:W3CDTF">2024-03-05T02:54:04Z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78BB0F25A3E6491B8C2428B0E85301AF_12</vt:lpwstr>
  </property>
</Properties>
</file>