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7F1" w:rsidRDefault="00835131">
      <w:pPr>
        <w:spacing w:after="0" w:line="560" w:lineRule="exact"/>
        <w:rPr>
          <w:rFonts w:ascii="Times New Roman" w:eastAsia="方正黑体简体" w:hAnsi="Times New Roman"/>
          <w:b/>
          <w:sz w:val="32"/>
          <w:szCs w:val="32"/>
        </w:rPr>
      </w:pPr>
      <w:r>
        <w:rPr>
          <w:rFonts w:ascii="Times New Roman" w:eastAsia="方正黑体简体" w:hAnsi="Times New Roman"/>
          <w:b/>
          <w:sz w:val="32"/>
          <w:szCs w:val="32"/>
        </w:rPr>
        <w:t>附件</w:t>
      </w:r>
      <w:r>
        <w:rPr>
          <w:rFonts w:ascii="Times New Roman" w:eastAsia="方正黑体简体" w:hAnsi="Times New Roman"/>
          <w:b/>
          <w:sz w:val="32"/>
          <w:szCs w:val="32"/>
        </w:rPr>
        <w:t>5</w:t>
      </w:r>
    </w:p>
    <w:p w:rsidR="001177F1" w:rsidRDefault="00835131">
      <w:pPr>
        <w:spacing w:after="0" w:line="560" w:lineRule="exact"/>
        <w:jc w:val="center"/>
        <w:rPr>
          <w:rFonts w:ascii="Times New Roman" w:eastAsia="方正小标宋简体" w:hAnsi="Times New Roman"/>
          <w:b/>
          <w:sz w:val="44"/>
          <w:szCs w:val="44"/>
        </w:rPr>
      </w:pPr>
      <w:r>
        <w:rPr>
          <w:rFonts w:ascii="Times New Roman" w:eastAsia="方正小标宋简体" w:hAnsi="Times New Roman" w:hint="eastAsia"/>
          <w:b/>
          <w:sz w:val="44"/>
          <w:szCs w:val="44"/>
        </w:rPr>
        <w:t>仪陇县情况简介</w:t>
      </w:r>
    </w:p>
    <w:p w:rsidR="001177F1" w:rsidRDefault="001177F1">
      <w:pPr>
        <w:spacing w:after="0" w:line="560" w:lineRule="exact"/>
        <w:jc w:val="center"/>
        <w:rPr>
          <w:rFonts w:ascii="Times New Roman" w:eastAsia="方正小标宋简体" w:hAnsi="Times New Roman"/>
          <w:b/>
          <w:sz w:val="44"/>
          <w:szCs w:val="44"/>
        </w:rPr>
      </w:pPr>
    </w:p>
    <w:p w:rsidR="001177F1" w:rsidRDefault="00835131" w:rsidP="004078A4">
      <w:pPr>
        <w:widowControl w:val="0"/>
        <w:adjustRightInd/>
        <w:snapToGrid/>
        <w:spacing w:after="0" w:line="560" w:lineRule="exact"/>
        <w:ind w:firstLineChars="200" w:firstLine="630"/>
        <w:rPr>
          <w:rFonts w:ascii="Times New Roman" w:eastAsia="方正仿宋简体" w:hAnsi="Times New Roman"/>
          <w:b/>
          <w:bCs/>
          <w:spacing w:val="-6"/>
          <w:sz w:val="32"/>
          <w:szCs w:val="32"/>
        </w:rPr>
      </w:pP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仪陇是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老一辈无产阶级革命家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朱德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元帅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和为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人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民服务光辉典范张思德同志的故乡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，是川陕革命根据地重要组成部分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。全县幅员面积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1788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平方公里，辖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37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个乡镇、总人口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113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万。仪陇历史悠久、文化灿烂，红色文化熠熠生辉、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“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三乡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”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文化闻名遐迩、客家文化独特神秘、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“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两德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”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精神源远流长，是中国民间艺术之乡、川北大木偶艺术发源地、川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东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北客家第一县。</w:t>
      </w:r>
    </w:p>
    <w:p w:rsidR="001177F1" w:rsidRDefault="00835131">
      <w:pPr>
        <w:widowControl w:val="0"/>
        <w:spacing w:after="0" w:line="560" w:lineRule="exact"/>
        <w:ind w:firstLineChars="196" w:firstLine="630"/>
        <w:jc w:val="both"/>
        <w:rPr>
          <w:rFonts w:ascii="Times New Roman" w:eastAsia="方正楷体简体" w:hAnsi="Times New Roman"/>
          <w:b/>
          <w:sz w:val="32"/>
          <w:szCs w:val="32"/>
        </w:rPr>
      </w:pPr>
      <w:r>
        <w:rPr>
          <w:rFonts w:ascii="Times New Roman" w:eastAsia="方正楷体简体" w:hAnsi="Times New Roman" w:hint="eastAsia"/>
          <w:b/>
          <w:sz w:val="32"/>
          <w:szCs w:val="32"/>
        </w:rPr>
        <w:t>历史悠久，文化厚重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。仪陇建县迄今已有</w:t>
      </w:r>
      <w:r>
        <w:rPr>
          <w:rFonts w:ascii="Times New Roman" w:eastAsia="方正仿宋简体" w:hAnsi="Times New Roman"/>
          <w:b/>
          <w:sz w:val="32"/>
          <w:szCs w:val="32"/>
        </w:rPr>
        <w:t>1500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多年历史，是国家命名的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中国民间艺术之乡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，是国家级非物质文化遗产川北大木偶的发祥地。以书法、剪纸和篆刻为主的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三乡文化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享誉海内外；客家水席、山歌、婚俗、家训和完美结合南方土屋与北方四合院风格被客学家称为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最后的孤独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的丁氏庄园，绵延了客家人整体的心灵感喟，传承了客家文化的精髓；以颜真卿摩崖石刻闻名的离堆公园、集中国各大书法流派珍墨的金粟书岩翰墨馨香，令人心驰神往。</w:t>
      </w:r>
    </w:p>
    <w:p w:rsidR="001177F1" w:rsidRDefault="00835131">
      <w:pPr>
        <w:widowControl w:val="0"/>
        <w:spacing w:after="0" w:line="560" w:lineRule="exact"/>
        <w:ind w:firstLineChars="200" w:firstLine="643"/>
        <w:jc w:val="both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ascii="Times New Roman" w:eastAsia="方正楷体简体" w:hAnsi="Times New Roman" w:hint="eastAsia"/>
          <w:b/>
          <w:sz w:val="32"/>
          <w:szCs w:val="32"/>
        </w:rPr>
        <w:t>两德故里，红色热土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。仪陇是一片饱含热血的红色土地，是追忆初心、缅怀先烈的革命圣地。已建成国家</w:t>
      </w:r>
      <w:r>
        <w:rPr>
          <w:rFonts w:ascii="Times New Roman" w:eastAsia="方正仿宋简体" w:hAnsi="Times New Roman"/>
          <w:b/>
          <w:sz w:val="32"/>
          <w:szCs w:val="32"/>
        </w:rPr>
        <w:t>5A</w:t>
      </w:r>
      <w:r>
        <w:rPr>
          <w:rFonts w:ascii="Times New Roman" w:eastAsia="方正仿宋简体" w:hAnsi="Times New Roman" w:hint="eastAsia"/>
          <w:b/>
          <w:sz w:val="32"/>
          <w:szCs w:val="32"/>
        </w:rPr>
        <w:t>级红色旅游示范区的朱德故里景区，完整记录了那段峥嵘岁月，再现了将革命进行到底的精神。记载着张思德生平事迹的纪念馆，展现了张思德全心全意为人民服务的光荣一生。</w:t>
      </w:r>
      <w:r>
        <w:rPr>
          <w:rFonts w:ascii="Times New Roman" w:eastAsia="方正仿宋简体" w:hAnsi="Times New Roman"/>
          <w:b/>
          <w:sz w:val="32"/>
          <w:szCs w:val="32"/>
        </w:rPr>
        <w:t xml:space="preserve"> 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德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字园、红军</w:t>
      </w:r>
      <w:r>
        <w:rPr>
          <w:rFonts w:ascii="Times New Roman" w:eastAsia="方正仿宋简体" w:hAnsi="Times New Roman" w:hint="eastAsia"/>
          <w:b/>
          <w:sz w:val="32"/>
          <w:szCs w:val="32"/>
        </w:rPr>
        <w:lastRenderedPageBreak/>
        <w:t>街、红九军政治部遗址以及红色经典广场等，承载着仪陇儿女深厚的红色情怀。</w:t>
      </w:r>
    </w:p>
    <w:p w:rsidR="001177F1" w:rsidRDefault="00835131">
      <w:pPr>
        <w:widowControl w:val="0"/>
        <w:spacing w:after="0" w:line="560" w:lineRule="exact"/>
        <w:ind w:firstLineChars="196" w:firstLine="630"/>
        <w:jc w:val="both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ascii="Times New Roman" w:eastAsia="方正楷体简体" w:hAnsi="Times New Roman" w:hint="eastAsia"/>
          <w:b/>
          <w:sz w:val="32"/>
          <w:szCs w:val="32"/>
        </w:rPr>
        <w:t>区位优越，交通便捷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。仪陇地处成都、重庆、西安三角经济圈腹地，距成都</w:t>
      </w:r>
      <w:r>
        <w:rPr>
          <w:rFonts w:ascii="Times New Roman" w:eastAsia="方正仿宋简体" w:hAnsi="Times New Roman"/>
          <w:b/>
          <w:sz w:val="32"/>
          <w:szCs w:val="32"/>
        </w:rPr>
        <w:t>251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公里，距重庆</w:t>
      </w:r>
      <w:r>
        <w:rPr>
          <w:rFonts w:ascii="Times New Roman" w:eastAsia="方正仿宋简体" w:hAnsi="Times New Roman"/>
          <w:b/>
          <w:sz w:val="32"/>
          <w:szCs w:val="32"/>
        </w:rPr>
        <w:t>266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公里，境内成巴高速、渝川陕高速、巴广渝高速使仪陇快速融入南充半小时经济圈、成渝两小时经济圈、川陕红色旅游线三小时经济圈、中西部重要城市五小时经济圈。汉巴南铁路、阆仪营高速、顺仪公路等绘就了仪陇交通蓝图，兰渝铁路、渝新欧铁路、嘉陵江航路使仪陇成为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一带一路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的重要节点。</w:t>
      </w:r>
    </w:p>
    <w:p w:rsidR="001177F1" w:rsidRDefault="00835131">
      <w:pPr>
        <w:widowControl w:val="0"/>
        <w:adjustRightInd/>
        <w:snapToGrid/>
        <w:spacing w:after="0" w:line="560" w:lineRule="exact"/>
        <w:ind w:firstLineChars="200" w:firstLine="643"/>
        <w:rPr>
          <w:rFonts w:ascii="Times New Roman" w:eastAsia="方正楷体简体" w:hAnsi="Times New Roman"/>
          <w:b/>
          <w:sz w:val="32"/>
          <w:szCs w:val="32"/>
        </w:rPr>
      </w:pPr>
      <w:r>
        <w:rPr>
          <w:rFonts w:ascii="Times New Roman" w:eastAsia="方正楷体简体" w:hAnsi="Times New Roman" w:hint="eastAsia"/>
          <w:b/>
          <w:sz w:val="32"/>
          <w:szCs w:val="32"/>
        </w:rPr>
        <w:t>文旅相融，风和景明。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仪陇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全力擦亮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“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将帅故里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 xml:space="preserve"> 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红色仪陇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”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旅游名片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，坚持以文促旅、以旅彰文，深化文旅融合，以创建天府旅游名县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和全域旅游示范区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为契机，着力构建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“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一核两城三线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”</w:t>
      </w:r>
      <w:r>
        <w:rPr>
          <w:rFonts w:ascii="方正楷体简体" w:eastAsia="方正楷体简体" w:hAnsi="Times New Roman" w:hint="eastAsia"/>
          <w:b/>
          <w:bCs/>
          <w:spacing w:val="-6"/>
          <w:sz w:val="32"/>
          <w:szCs w:val="32"/>
        </w:rPr>
        <w:t>（“一核”指朱德故里景区，“两城”指新政、金城旅游城，“三线”指新马线、新金线、金马线乡村旅游带）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的全域旅游大格局。成功创建朱德故里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5A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景区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，朱德铜像纪念园、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安溪潮村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、黎明村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等国家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3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A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级旅游景区，创评朱德故里全国中小学生研学实践教育基地、马鞍镇全国特色旅游景观名镇、琳琅村中国传统村落等国家级文化旅游品牌，仪陇酱瓜、胭脂萝卜、大山香米等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获评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国家地理标志保护产品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。</w:t>
      </w:r>
    </w:p>
    <w:p w:rsidR="001177F1" w:rsidRDefault="00835131">
      <w:pPr>
        <w:widowControl w:val="0"/>
        <w:spacing w:after="0" w:line="560" w:lineRule="exact"/>
        <w:ind w:firstLineChars="196" w:firstLine="630"/>
        <w:jc w:val="both"/>
        <w:rPr>
          <w:rFonts w:ascii="Times New Roman" w:eastAsia="方正仿宋简体" w:hAnsi="Times New Roman"/>
          <w:b/>
          <w:bCs/>
          <w:spacing w:val="-6"/>
          <w:sz w:val="32"/>
          <w:szCs w:val="32"/>
        </w:rPr>
      </w:pPr>
      <w:r>
        <w:rPr>
          <w:rFonts w:ascii="Times New Roman" w:eastAsia="方正楷体简体" w:hAnsi="Times New Roman" w:hint="eastAsia"/>
          <w:b/>
          <w:sz w:val="32"/>
          <w:szCs w:val="32"/>
        </w:rPr>
        <w:t>园林新城，宜居宜业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。仪陇推崇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生活空间宜居</w:t>
      </w:r>
      <w:r>
        <w:rPr>
          <w:rFonts w:ascii="Times New Roman" w:eastAsia="方正仿宋简体" w:hAnsi="Times New Roman" w:hint="eastAsia"/>
          <w:b/>
          <w:sz w:val="32"/>
          <w:szCs w:val="32"/>
        </w:rPr>
        <w:t>适度、生态空间山清水秀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理念，现代滨江山水园林城市特色凸显。</w:t>
      </w:r>
      <w:r>
        <w:rPr>
          <w:rFonts w:ascii="Times New Roman" w:eastAsia="方正仿宋简体" w:hAnsi="Times New Roman"/>
          <w:b/>
          <w:sz w:val="32"/>
          <w:szCs w:val="32"/>
        </w:rPr>
        <w:t>pm2.5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年均值</w:t>
      </w:r>
      <w:r>
        <w:rPr>
          <w:rFonts w:ascii="Times New Roman" w:eastAsia="方正仿宋简体" w:hAnsi="Times New Roman"/>
          <w:b/>
          <w:sz w:val="32"/>
          <w:szCs w:val="32"/>
        </w:rPr>
        <w:t>35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以下，空气质量优良，年平均气温</w:t>
      </w:r>
      <w:r>
        <w:rPr>
          <w:rFonts w:ascii="Times New Roman" w:eastAsia="方正仿宋简体" w:hAnsi="Times New Roman"/>
          <w:b/>
          <w:sz w:val="32"/>
          <w:szCs w:val="32"/>
        </w:rPr>
        <w:t>15.7</w:t>
      </w:r>
      <w:r>
        <w:rPr>
          <w:rFonts w:ascii="宋体" w:eastAsia="宋体" w:hAnsi="宋体" w:cs="宋体" w:hint="eastAsia"/>
          <w:b/>
          <w:sz w:val="32"/>
          <w:szCs w:val="32"/>
        </w:rPr>
        <w:t>℃</w:t>
      </w:r>
      <w:r>
        <w:rPr>
          <w:rFonts w:ascii="Times New Roman" w:eastAsia="方正仿宋简体" w:hAnsi="Times New Roman" w:hint="eastAsia"/>
          <w:b/>
          <w:sz w:val="32"/>
          <w:szCs w:val="32"/>
        </w:rPr>
        <w:t>，气候宜人</w:t>
      </w:r>
      <w:r>
        <w:rPr>
          <w:rFonts w:ascii="Times New Roman" w:eastAsia="方正仿宋简体" w:hAnsi="Times New Roman" w:hint="eastAsia"/>
          <w:b/>
          <w:sz w:val="32"/>
          <w:szCs w:val="32"/>
        </w:rPr>
        <w:lastRenderedPageBreak/>
        <w:t>宜居。嘉陵江在仪陇境内总长</w:t>
      </w:r>
      <w:r>
        <w:rPr>
          <w:rFonts w:ascii="Times New Roman" w:eastAsia="方正仿宋简体" w:hAnsi="Times New Roman"/>
          <w:b/>
          <w:sz w:val="32"/>
          <w:szCs w:val="32"/>
        </w:rPr>
        <w:t>23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公里，水域面积</w:t>
      </w:r>
      <w:r>
        <w:rPr>
          <w:rFonts w:ascii="Times New Roman" w:eastAsia="方正仿宋简体" w:hAnsi="Times New Roman"/>
          <w:b/>
          <w:sz w:val="32"/>
          <w:szCs w:val="32"/>
        </w:rPr>
        <w:t>16000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亩，水资源丰富。城市绿地景观</w:t>
      </w:r>
      <w:r>
        <w:rPr>
          <w:rFonts w:ascii="Times New Roman" w:eastAsia="方正仿宋简体" w:hAnsi="Times New Roman"/>
          <w:b/>
          <w:sz w:val="32"/>
          <w:szCs w:val="32"/>
        </w:rPr>
        <w:t>26.5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万平方米，绿化覆盖率达</w:t>
      </w:r>
      <w:r>
        <w:rPr>
          <w:rFonts w:ascii="Times New Roman" w:eastAsia="方正仿宋简体" w:hAnsi="Times New Roman"/>
          <w:b/>
          <w:sz w:val="32"/>
          <w:szCs w:val="32"/>
        </w:rPr>
        <w:t>46.9%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。仪陇县城先后荣获省级生态县、卫生县城、环境优美示范县、园林县城、省级文明城市等称号，县城成功跻身全国十大宜居县城、四川省十大宜居城市，</w:t>
      </w:r>
      <w:r>
        <w:rPr>
          <w:rFonts w:ascii="Times New Roman" w:eastAsia="方正仿宋简体" w:hAnsi="Times New Roman" w:hint="eastAsia"/>
          <w:b/>
          <w:bCs/>
          <w:spacing w:val="-6"/>
          <w:sz w:val="32"/>
          <w:szCs w:val="32"/>
        </w:rPr>
        <w:t>通过国家园林城市验收</w:t>
      </w:r>
      <w:r>
        <w:rPr>
          <w:rFonts w:ascii="Times New Roman" w:eastAsia="方正仿宋简体" w:hAnsi="Times New Roman"/>
          <w:b/>
          <w:bCs/>
          <w:spacing w:val="-6"/>
          <w:sz w:val="32"/>
          <w:szCs w:val="32"/>
        </w:rPr>
        <w:t>。</w:t>
      </w:r>
    </w:p>
    <w:p w:rsidR="001177F1" w:rsidRDefault="00835131">
      <w:pPr>
        <w:widowControl w:val="0"/>
        <w:spacing w:after="0" w:line="560" w:lineRule="exact"/>
        <w:ind w:firstLineChars="196" w:firstLine="630"/>
        <w:jc w:val="both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ascii="Times New Roman" w:eastAsia="方正楷体简体" w:hAnsi="Times New Roman" w:hint="eastAsia"/>
          <w:b/>
          <w:sz w:val="32"/>
          <w:szCs w:val="32"/>
        </w:rPr>
        <w:t>小城大爱，幸福家园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青青子衿，悠悠我心。但为君故，沉吟至今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。仪陇县委、县政府高度重视人才引进、培育和发展，深入推进人才强县战略，大力实施“帅乡英才工程”，人才政策不断健全，人才环境持续优化。</w:t>
      </w:r>
      <w:r>
        <w:rPr>
          <w:rFonts w:ascii="Times New Roman" w:eastAsia="方正仿宋简体" w:hAnsi="Times New Roman" w:hint="eastAsia"/>
          <w:b/>
          <w:sz w:val="32"/>
          <w:szCs w:val="32"/>
        </w:rPr>
        <w:t>装修人才公寓</w:t>
      </w:r>
      <w:r>
        <w:rPr>
          <w:rFonts w:ascii="Times New Roman" w:eastAsia="方正仿宋简体" w:hAnsi="Times New Roman" w:hint="eastAsia"/>
          <w:b/>
          <w:sz w:val="32"/>
          <w:szCs w:val="32"/>
        </w:rPr>
        <w:t>200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套，江成博士到岗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即任县医院院长助理，</w:t>
      </w:r>
      <w:r>
        <w:rPr>
          <w:rFonts w:ascii="Times New Roman" w:eastAsia="方正仿宋简体" w:hAnsi="Times New Roman" w:hint="eastAsia"/>
          <w:b/>
          <w:sz w:val="32"/>
          <w:szCs w:val="32"/>
        </w:rPr>
        <w:t>6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名高层次人才因表现优秀，被提拔为领导干部；</w:t>
      </w:r>
      <w:r>
        <w:rPr>
          <w:rFonts w:ascii="Times New Roman" w:eastAsia="方正仿宋简体" w:hAnsi="Times New Roman" w:hint="eastAsia"/>
          <w:b/>
          <w:sz w:val="32"/>
          <w:szCs w:val="32"/>
        </w:rPr>
        <w:t>2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名优秀人才被推荐位市人大代表和县政协委员，县医院为引进人才专门开设了康复科、肿瘤科，县电视台为采编人才成立工作室。</w:t>
      </w:r>
    </w:p>
    <w:p w:rsidR="001177F1" w:rsidRDefault="00835131">
      <w:pPr>
        <w:widowControl w:val="0"/>
        <w:spacing w:after="0" w:line="560" w:lineRule="exact"/>
        <w:ind w:firstLineChars="196" w:firstLine="630"/>
        <w:jc w:val="both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ascii="Times New Roman" w:eastAsia="方正仿宋简体" w:hAnsi="Times New Roman" w:hint="eastAsia"/>
          <w:b/>
          <w:sz w:val="32"/>
          <w:szCs w:val="32"/>
        </w:rPr>
        <w:t>仪陇是一座生机盎然的活力之城，一处海纳百川的包容之地，一个心安所向的舒适之家。山清、水秀、城洁、人和，古朴的客家民居和友善的仪陇人民，让闻者向往，来者依恋，居者自豪</w:t>
      </w:r>
      <w:r>
        <w:rPr>
          <w:rFonts w:ascii="Times New Roman" w:eastAsia="方正仿宋简体" w:hAnsi="Times New Roman" w:hint="eastAsia"/>
          <w:b/>
          <w:sz w:val="32"/>
          <w:szCs w:val="32"/>
        </w:rPr>
        <w:t xml:space="preserve"> 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</w:t>
      </w:r>
    </w:p>
    <w:p w:rsidR="001177F1" w:rsidRDefault="00835131">
      <w:pPr>
        <w:widowControl w:val="0"/>
        <w:spacing w:after="0" w:line="560" w:lineRule="exact"/>
        <w:ind w:firstLineChars="196" w:firstLine="630"/>
        <w:jc w:val="both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ascii="Times New Roman" w:eastAsia="方正仿宋简体" w:hAnsi="Times New Roman" w:hint="eastAsia"/>
          <w:b/>
          <w:sz w:val="32"/>
          <w:szCs w:val="32"/>
        </w:rPr>
        <w:t>小城大爱，除了幸福，</w:t>
      </w:r>
      <w:bookmarkStart w:id="0" w:name="_GoBack"/>
      <w:bookmarkEnd w:id="0"/>
      <w:r>
        <w:rPr>
          <w:rFonts w:ascii="Times New Roman" w:eastAsia="方正仿宋简体" w:hAnsi="Times New Roman" w:hint="eastAsia"/>
          <w:b/>
          <w:sz w:val="32"/>
          <w:szCs w:val="32"/>
        </w:rPr>
        <w:t>一无所有。</w:t>
      </w:r>
    </w:p>
    <w:p w:rsidR="001177F1" w:rsidRDefault="001177F1">
      <w:pPr>
        <w:widowControl w:val="0"/>
        <w:spacing w:after="0" w:line="560" w:lineRule="exact"/>
        <w:ind w:firstLineChars="196" w:firstLine="630"/>
        <w:jc w:val="both"/>
        <w:rPr>
          <w:rFonts w:ascii="Times New Roman" w:eastAsia="方正仿宋简体" w:hAnsi="Times New Roman"/>
          <w:b/>
          <w:sz w:val="32"/>
          <w:szCs w:val="32"/>
        </w:rPr>
      </w:pPr>
    </w:p>
    <w:sectPr w:rsidR="001177F1" w:rsidSect="004078A4">
      <w:footerReference w:type="even" r:id="rId7"/>
      <w:footerReference w:type="default" r:id="rId8"/>
      <w:pgSz w:w="11906" w:h="16838"/>
      <w:pgMar w:top="2211" w:right="1531" w:bottom="1871" w:left="1531" w:header="992" w:footer="1418" w:gutter="0"/>
      <w:pgNumType w:start="2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131" w:rsidRDefault="00835131" w:rsidP="001177F1">
      <w:pPr>
        <w:spacing w:after="0"/>
      </w:pPr>
      <w:r>
        <w:separator/>
      </w:r>
    </w:p>
  </w:endnote>
  <w:endnote w:type="continuationSeparator" w:id="1">
    <w:p w:rsidR="00835131" w:rsidRDefault="00835131" w:rsidP="001177F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7F1" w:rsidRDefault="00117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513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77F1" w:rsidRDefault="001177F1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7F1" w:rsidRDefault="001177F1">
    <w:pPr>
      <w:pStyle w:val="a3"/>
      <w:framePr w:wrap="around" w:vAnchor="text" w:hAnchor="margin" w:xAlign="center" w:y="1"/>
      <w:rPr>
        <w:rStyle w:val="a5"/>
        <w:rFonts w:ascii="Times New Roman" w:hAnsi="Times New Roman"/>
        <w:b/>
        <w:sz w:val="24"/>
        <w:szCs w:val="24"/>
      </w:rPr>
    </w:pPr>
    <w:r>
      <w:rPr>
        <w:rStyle w:val="a5"/>
        <w:rFonts w:ascii="Times New Roman" w:hAnsi="Times New Roman"/>
        <w:b/>
        <w:sz w:val="24"/>
        <w:szCs w:val="24"/>
      </w:rPr>
      <w:fldChar w:fldCharType="begin"/>
    </w:r>
    <w:r w:rsidR="00835131">
      <w:rPr>
        <w:rStyle w:val="a5"/>
        <w:rFonts w:ascii="Times New Roman" w:hAnsi="Times New Roman"/>
        <w:b/>
        <w:sz w:val="24"/>
        <w:szCs w:val="24"/>
      </w:rPr>
      <w:instrText xml:space="preserve">PAGE  </w:instrText>
    </w:r>
    <w:r>
      <w:rPr>
        <w:rStyle w:val="a5"/>
        <w:rFonts w:ascii="Times New Roman" w:hAnsi="Times New Roman"/>
        <w:b/>
        <w:sz w:val="24"/>
        <w:szCs w:val="24"/>
      </w:rPr>
      <w:fldChar w:fldCharType="separate"/>
    </w:r>
    <w:r w:rsidR="004078A4">
      <w:rPr>
        <w:rStyle w:val="a5"/>
        <w:rFonts w:ascii="Times New Roman" w:hAnsi="Times New Roman"/>
        <w:b/>
        <w:noProof/>
        <w:sz w:val="24"/>
        <w:szCs w:val="24"/>
      </w:rPr>
      <w:t>22</w:t>
    </w:r>
    <w:r>
      <w:rPr>
        <w:rStyle w:val="a5"/>
        <w:rFonts w:ascii="Times New Roman" w:hAnsi="Times New Roman"/>
        <w:b/>
        <w:sz w:val="24"/>
        <w:szCs w:val="24"/>
      </w:rPr>
      <w:fldChar w:fldCharType="end"/>
    </w:r>
  </w:p>
  <w:p w:rsidR="001177F1" w:rsidRDefault="001177F1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131" w:rsidRDefault="00835131" w:rsidP="001177F1">
      <w:pPr>
        <w:spacing w:after="0"/>
      </w:pPr>
      <w:r>
        <w:separator/>
      </w:r>
    </w:p>
  </w:footnote>
  <w:footnote w:type="continuationSeparator" w:id="1">
    <w:p w:rsidR="00835131" w:rsidRDefault="00835131" w:rsidP="001177F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258DB"/>
    <w:rsid w:val="000335BC"/>
    <w:rsid w:val="00080DBF"/>
    <w:rsid w:val="000A752F"/>
    <w:rsid w:val="00105903"/>
    <w:rsid w:val="001177F1"/>
    <w:rsid w:val="00130129"/>
    <w:rsid w:val="001331F2"/>
    <w:rsid w:val="00177BA8"/>
    <w:rsid w:val="00184323"/>
    <w:rsid w:val="00256F25"/>
    <w:rsid w:val="00261E6B"/>
    <w:rsid w:val="002668F8"/>
    <w:rsid w:val="002C4BE8"/>
    <w:rsid w:val="00321A00"/>
    <w:rsid w:val="00323B43"/>
    <w:rsid w:val="00341E8F"/>
    <w:rsid w:val="00393640"/>
    <w:rsid w:val="003D37D8"/>
    <w:rsid w:val="003D4486"/>
    <w:rsid w:val="003F5A96"/>
    <w:rsid w:val="004078A4"/>
    <w:rsid w:val="00426133"/>
    <w:rsid w:val="004358AB"/>
    <w:rsid w:val="004403F8"/>
    <w:rsid w:val="0044221D"/>
    <w:rsid w:val="004558B4"/>
    <w:rsid w:val="00455DB4"/>
    <w:rsid w:val="00456003"/>
    <w:rsid w:val="00500078"/>
    <w:rsid w:val="00511D3D"/>
    <w:rsid w:val="00530828"/>
    <w:rsid w:val="005367AF"/>
    <w:rsid w:val="005913E4"/>
    <w:rsid w:val="005B6AD7"/>
    <w:rsid w:val="005C7368"/>
    <w:rsid w:val="005D3318"/>
    <w:rsid w:val="005E7508"/>
    <w:rsid w:val="00712D17"/>
    <w:rsid w:val="007857DC"/>
    <w:rsid w:val="007903FE"/>
    <w:rsid w:val="007A6482"/>
    <w:rsid w:val="007D1B03"/>
    <w:rsid w:val="007D2CB5"/>
    <w:rsid w:val="00835131"/>
    <w:rsid w:val="008529EA"/>
    <w:rsid w:val="00854363"/>
    <w:rsid w:val="00856968"/>
    <w:rsid w:val="008740E4"/>
    <w:rsid w:val="008B7726"/>
    <w:rsid w:val="008C43FA"/>
    <w:rsid w:val="008D5878"/>
    <w:rsid w:val="009217A5"/>
    <w:rsid w:val="00936289"/>
    <w:rsid w:val="00965948"/>
    <w:rsid w:val="009D192B"/>
    <w:rsid w:val="009F5336"/>
    <w:rsid w:val="00A05C4F"/>
    <w:rsid w:val="00A14FA1"/>
    <w:rsid w:val="00A46C24"/>
    <w:rsid w:val="00AB3BB8"/>
    <w:rsid w:val="00AC2216"/>
    <w:rsid w:val="00AD540C"/>
    <w:rsid w:val="00AE15B4"/>
    <w:rsid w:val="00B15B20"/>
    <w:rsid w:val="00B30776"/>
    <w:rsid w:val="00B80FBE"/>
    <w:rsid w:val="00C91AAC"/>
    <w:rsid w:val="00CA4259"/>
    <w:rsid w:val="00D31D50"/>
    <w:rsid w:val="00D3362D"/>
    <w:rsid w:val="00D5474D"/>
    <w:rsid w:val="00D80869"/>
    <w:rsid w:val="00E22E62"/>
    <w:rsid w:val="00E25FDE"/>
    <w:rsid w:val="00E83124"/>
    <w:rsid w:val="00E91507"/>
    <w:rsid w:val="00F157B3"/>
    <w:rsid w:val="00F212C7"/>
    <w:rsid w:val="00F5041C"/>
    <w:rsid w:val="00F636C6"/>
    <w:rsid w:val="00F64D9A"/>
    <w:rsid w:val="00F6608A"/>
    <w:rsid w:val="00F970D5"/>
    <w:rsid w:val="03073025"/>
    <w:rsid w:val="06F01F74"/>
    <w:rsid w:val="0B353F9F"/>
    <w:rsid w:val="12FD6387"/>
    <w:rsid w:val="13E67F5F"/>
    <w:rsid w:val="14057A45"/>
    <w:rsid w:val="23A92614"/>
    <w:rsid w:val="241420A1"/>
    <w:rsid w:val="2D10471E"/>
    <w:rsid w:val="2F0A57DB"/>
    <w:rsid w:val="3BA67580"/>
    <w:rsid w:val="427A3C94"/>
    <w:rsid w:val="48B728F3"/>
    <w:rsid w:val="615339A2"/>
    <w:rsid w:val="66DA19D4"/>
    <w:rsid w:val="6BDA4562"/>
    <w:rsid w:val="771D352D"/>
    <w:rsid w:val="77C46950"/>
    <w:rsid w:val="79F80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F1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1177F1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1177F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sid w:val="001177F1"/>
    <w:rPr>
      <w:rFonts w:cs="Times New Roman"/>
    </w:rPr>
  </w:style>
  <w:style w:type="character" w:customStyle="1" w:styleId="Char">
    <w:name w:val="页脚 Char"/>
    <w:basedOn w:val="a0"/>
    <w:link w:val="a3"/>
    <w:uiPriority w:val="99"/>
    <w:semiHidden/>
    <w:locked/>
    <w:rsid w:val="001177F1"/>
    <w:rPr>
      <w:rFonts w:ascii="Tahoma" w:hAnsi="Tahoma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1177F1"/>
    <w:rPr>
      <w:rFonts w:ascii="Tahoma" w:hAnsi="Tahoma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078A4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078A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229</Words>
  <Characters>1307</Characters>
  <Application>Microsoft Office Word</Application>
  <DocSecurity>0</DocSecurity>
  <Lines>10</Lines>
  <Paragraphs>3</Paragraphs>
  <ScaleCrop>false</ScaleCrop>
  <Company>china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</dc:title>
  <dc:creator>Administrator</dc:creator>
  <cp:lastModifiedBy>Administrator</cp:lastModifiedBy>
  <cp:revision>6</cp:revision>
  <cp:lastPrinted>2020-03-02T02:43:00Z</cp:lastPrinted>
  <dcterms:created xsi:type="dcterms:W3CDTF">2020-01-14T13:21:00Z</dcterms:created>
  <dcterms:modified xsi:type="dcterms:W3CDTF">2020-03-02T02:43:00Z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