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AFCD7">
      <w:pPr>
        <w:adjustRightInd w:val="0"/>
        <w:snapToGrid w:val="0"/>
        <w:spacing w:line="360" w:lineRule="auto"/>
        <w:jc w:val="center"/>
        <w:outlineLvl w:val="0"/>
        <w:rPr>
          <w:rFonts w:hint="eastAsia" w:ascii="方正小标宋简体" w:hAnsi="宋体" w:eastAsia="方正小标宋简体"/>
          <w:color w:val="auto"/>
          <w:sz w:val="52"/>
          <w:szCs w:val="52"/>
          <w:highlight w:val="none"/>
          <w:lang w:val="en-US" w:eastAsia="zh-CN"/>
        </w:rPr>
      </w:pPr>
    </w:p>
    <w:p w14:paraId="3F7E78A2">
      <w:pPr>
        <w:adjustRightInd w:val="0"/>
        <w:snapToGrid w:val="0"/>
        <w:spacing w:line="360" w:lineRule="auto"/>
        <w:jc w:val="center"/>
        <w:outlineLvl w:val="0"/>
        <w:rPr>
          <w:rFonts w:hint="eastAsia" w:ascii="方正小标宋简体" w:hAnsi="宋体" w:eastAsia="方正小标宋简体"/>
          <w:color w:val="auto"/>
          <w:sz w:val="52"/>
          <w:szCs w:val="52"/>
          <w:highlight w:val="none"/>
          <w:lang w:val="en-US" w:eastAsia="zh-CN"/>
        </w:rPr>
      </w:pPr>
    </w:p>
    <w:p w14:paraId="27530663">
      <w:pPr>
        <w:adjustRightInd w:val="0"/>
        <w:snapToGrid w:val="0"/>
        <w:spacing w:line="360" w:lineRule="auto"/>
        <w:jc w:val="center"/>
        <w:outlineLvl w:val="0"/>
        <w:rPr>
          <w:rFonts w:hint="eastAsia" w:ascii="方正小标宋简体" w:hAnsi="宋体" w:eastAsia="方正小标宋简体"/>
          <w:color w:val="auto"/>
          <w:sz w:val="52"/>
          <w:szCs w:val="52"/>
          <w:highlight w:val="none"/>
          <w:lang w:val="en-US" w:eastAsia="zh-CN"/>
        </w:rPr>
      </w:pPr>
      <w:r>
        <w:rPr>
          <w:rFonts w:hint="eastAsia" w:ascii="方正小标宋简体" w:hAnsi="宋体" w:eastAsia="方正小标宋简体"/>
          <w:color w:val="auto"/>
          <w:sz w:val="52"/>
          <w:szCs w:val="52"/>
          <w:highlight w:val="none"/>
          <w:lang w:val="en-US" w:eastAsia="zh-CN"/>
        </w:rPr>
        <w:t>2023年度</w:t>
      </w:r>
    </w:p>
    <w:p w14:paraId="3EE54A71">
      <w:pPr>
        <w:adjustRightInd w:val="0"/>
        <w:snapToGrid w:val="0"/>
        <w:spacing w:line="360" w:lineRule="auto"/>
        <w:jc w:val="center"/>
        <w:outlineLvl w:val="0"/>
        <w:rPr>
          <w:rFonts w:hint="eastAsia" w:ascii="方正小标宋简体" w:hAnsi="宋体" w:eastAsia="方正小标宋简体"/>
          <w:color w:val="auto"/>
          <w:sz w:val="52"/>
          <w:szCs w:val="52"/>
          <w:highlight w:val="none"/>
          <w:lang w:val="en-US" w:eastAsia="zh-CN"/>
        </w:rPr>
      </w:pPr>
      <w:r>
        <w:rPr>
          <w:rFonts w:hint="eastAsia" w:ascii="方正小标宋简体" w:hAnsi="宋体" w:eastAsia="方正小标宋简体"/>
          <w:color w:val="auto"/>
          <w:sz w:val="52"/>
          <w:szCs w:val="52"/>
          <w:highlight w:val="none"/>
          <w:lang w:val="en-US" w:eastAsia="zh-CN"/>
        </w:rPr>
        <w:t>川北医学院决算</w:t>
      </w:r>
    </w:p>
    <w:p w14:paraId="37C1DAB9">
      <w:pPr>
        <w:adjustRightInd w:val="0"/>
        <w:snapToGrid w:val="0"/>
        <w:spacing w:line="360" w:lineRule="auto"/>
        <w:jc w:val="center"/>
        <w:outlineLvl w:val="0"/>
        <w:rPr>
          <w:rFonts w:hint="eastAsia" w:ascii="方正小标宋简体" w:hAnsi="宋体" w:eastAsia="方正小标宋简体"/>
          <w:color w:val="auto"/>
          <w:sz w:val="52"/>
          <w:szCs w:val="52"/>
          <w:highlight w:val="none"/>
          <w:lang w:val="en-US" w:eastAsia="zh-CN"/>
        </w:rPr>
      </w:pPr>
    </w:p>
    <w:p w14:paraId="360F9049">
      <w:pPr>
        <w:pageBreakBefore w:val="0"/>
        <w:widowControl/>
        <w:kinsoku/>
        <w:wordWrap/>
        <w:overflowPunct/>
        <w:topLinePunct w:val="0"/>
        <w:bidi w:val="0"/>
        <w:spacing w:line="560" w:lineRule="exact"/>
        <w:ind w:left="0" w:leftChars="0"/>
        <w:jc w:val="center"/>
        <w:rPr>
          <w:rFonts w:hint="eastAsia" w:ascii="Times New Roman" w:hAnsi="Times New Roman" w:eastAsia="黑体"/>
          <w:color w:val="auto"/>
          <w:sz w:val="48"/>
          <w:szCs w:val="48"/>
          <w:highlight w:val="none"/>
        </w:rPr>
        <w:sectPr>
          <w:pgSz w:w="11906" w:h="16838"/>
          <w:pgMar w:top="1984" w:right="1587" w:bottom="2041" w:left="1531" w:header="851" w:footer="992" w:gutter="0"/>
          <w:cols w:space="0" w:num="1"/>
          <w:rtlGutter w:val="0"/>
          <w:docGrid w:type="lines" w:linePitch="312" w:charSpace="0"/>
        </w:sectPr>
      </w:pPr>
    </w:p>
    <w:p w14:paraId="239F5F1C">
      <w:pPr>
        <w:pageBreakBefore w:val="0"/>
        <w:widowControl/>
        <w:kinsoku/>
        <w:wordWrap/>
        <w:overflowPunct/>
        <w:topLinePunct w:val="0"/>
        <w:bidi w:val="0"/>
        <w:spacing w:line="560" w:lineRule="exact"/>
        <w:ind w:left="0" w:leftChars="0"/>
        <w:jc w:val="center"/>
        <w:rPr>
          <w:rFonts w:ascii="Times New Roman" w:hAnsi="Times New Roman" w:eastAsia="黑体"/>
          <w:color w:val="auto"/>
          <w:sz w:val="48"/>
          <w:szCs w:val="48"/>
          <w:highlight w:val="none"/>
        </w:rPr>
      </w:pPr>
      <w:r>
        <w:rPr>
          <w:rFonts w:hint="eastAsia" w:ascii="Times New Roman" w:hAnsi="Times New Roman" w:eastAsia="黑体"/>
          <w:color w:val="auto"/>
          <w:sz w:val="48"/>
          <w:szCs w:val="48"/>
          <w:highlight w:val="none"/>
        </w:rPr>
        <w:t>目录</w:t>
      </w:r>
    </w:p>
    <w:p w14:paraId="6E77B15D">
      <w:pPr>
        <w:keepNext w:val="0"/>
        <w:keepLines w:val="0"/>
        <w:pageBreakBefore w:val="0"/>
        <w:widowControl/>
        <w:kinsoku/>
        <w:wordWrap/>
        <w:overflowPunct/>
        <w:topLinePunct w:val="0"/>
        <w:autoSpaceDE/>
        <w:autoSpaceDN/>
        <w:bidi w:val="0"/>
        <w:spacing w:line="560" w:lineRule="exact"/>
        <w:ind w:left="0" w:leftChars="0"/>
        <w:jc w:val="left"/>
        <w:textAlignment w:val="baseline"/>
        <w:rPr>
          <w:rFonts w:hint="eastAsia" w:ascii="Times New Roman" w:hAnsi="Times New Roman" w:eastAsia="仿宋_GB2312" w:cs="仿宋_GB2312"/>
          <w:color w:val="auto"/>
          <w:sz w:val="32"/>
          <w:szCs w:val="32"/>
          <w:highlight w:val="none"/>
        </w:rPr>
      </w:pPr>
    </w:p>
    <w:p w14:paraId="6DD1AD26">
      <w:pPr>
        <w:pStyle w:val="10"/>
        <w:keepNext w:val="0"/>
        <w:keepLines w:val="0"/>
        <w:pageBreakBefore w:val="0"/>
        <w:widowControl/>
        <w:kinsoku/>
        <w:wordWrap/>
        <w:overflowPunct/>
        <w:topLinePunct w:val="0"/>
        <w:autoSpaceDE/>
        <w:autoSpaceDN/>
        <w:bidi w:val="0"/>
        <w:spacing w:before="0" w:line="560" w:lineRule="exact"/>
        <w:ind w:left="0" w:leftChars="0"/>
        <w:jc w:val="center"/>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24</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 xml:space="preserve">13 </w:t>
      </w:r>
      <w:r>
        <w:rPr>
          <w:rFonts w:hint="eastAsia" w:ascii="Times New Roman" w:hAnsi="Times New Roman" w:eastAsia="仿宋_GB2312" w:cs="仿宋_GB2312"/>
          <w:color w:val="auto"/>
          <w:sz w:val="32"/>
          <w:szCs w:val="32"/>
          <w:highlight w:val="none"/>
        </w:rPr>
        <w:t>日</w:t>
      </w:r>
    </w:p>
    <w:p w14:paraId="178F2AA5">
      <w:pPr>
        <w:keepNext w:val="0"/>
        <w:keepLines w:val="0"/>
        <w:pageBreakBefore w:val="0"/>
        <w:widowControl/>
        <w:kinsoku/>
        <w:wordWrap/>
        <w:overflowPunct/>
        <w:topLinePunct w:val="0"/>
        <w:autoSpaceDE/>
        <w:autoSpaceDN/>
        <w:bidi w:val="0"/>
        <w:spacing w:line="560" w:lineRule="exact"/>
        <w:ind w:left="0" w:leftChars="0"/>
        <w:jc w:val="left"/>
        <w:textAlignment w:val="baseline"/>
        <w:rPr>
          <w:rFonts w:hint="eastAsia" w:ascii="Times New Roman" w:hAnsi="Times New Roman" w:eastAsia="仿宋_GB2312" w:cs="仿宋_GB2312"/>
          <w:color w:val="auto"/>
          <w:sz w:val="32"/>
          <w:szCs w:val="32"/>
          <w:highlight w:val="none"/>
        </w:rPr>
      </w:pPr>
    </w:p>
    <w:p w14:paraId="5E840778">
      <w:pPr>
        <w:pStyle w:val="10"/>
        <w:keepNext w:val="0"/>
        <w:keepLines w:val="0"/>
        <w:pageBreakBefore w:val="0"/>
        <w:widowControl/>
        <w:kinsoku/>
        <w:wordWrap/>
        <w:overflowPunct/>
        <w:topLinePunct w:val="0"/>
        <w:autoSpaceDE/>
        <w:autoSpaceDN/>
        <w:bidi w:val="0"/>
        <w:adjustRightInd w:val="0"/>
        <w:snapToGrid w:val="0"/>
        <w:spacing w:before="0" w:line="560" w:lineRule="exact"/>
        <w:ind w:left="0" w:leftChars="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 xml:space="preserve">第一部分 </w:t>
      </w:r>
      <w:r>
        <w:rPr>
          <w:rFonts w:hint="eastAsia" w:ascii="Times New Roman" w:hAnsi="Times New Roman" w:eastAsia="仿宋_GB2312" w:cs="仿宋_GB2312"/>
          <w:color w:val="auto"/>
          <w:sz w:val="32"/>
          <w:szCs w:val="32"/>
          <w:highlight w:val="none"/>
          <w:lang w:eastAsia="zh-CN"/>
        </w:rPr>
        <w:t>单位</w:t>
      </w:r>
      <w:r>
        <w:rPr>
          <w:rFonts w:hint="eastAsia" w:ascii="Times New Roman" w:hAnsi="Times New Roman" w:eastAsia="仿宋_GB2312" w:cs="仿宋_GB2312"/>
          <w:color w:val="auto"/>
          <w:sz w:val="32"/>
          <w:szCs w:val="32"/>
          <w:highlight w:val="none"/>
        </w:rPr>
        <w:t>概况</w:t>
      </w:r>
    </w:p>
    <w:p w14:paraId="598301C3">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主要职责</w:t>
      </w:r>
    </w:p>
    <w:p w14:paraId="2C31D1E8">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lang w:eastAsia="zh-CN"/>
        </w:rPr>
      </w:pPr>
      <w:r>
        <w:rPr>
          <w:rFonts w:hint="eastAsia" w:ascii="Times New Roman" w:hAnsi="Times New Roman" w:eastAsia="仿宋_GB2312" w:cs="仿宋_GB2312"/>
          <w:color w:val="auto"/>
          <w:sz w:val="32"/>
          <w:szCs w:val="32"/>
          <w:highlight w:val="none"/>
          <w:lang w:eastAsia="zh-CN"/>
        </w:rPr>
        <w:t>二</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机构设置</w:t>
      </w:r>
    </w:p>
    <w:p w14:paraId="4F1A7871">
      <w:pPr>
        <w:pStyle w:val="10"/>
        <w:keepNext w:val="0"/>
        <w:keepLines w:val="0"/>
        <w:pageBreakBefore w:val="0"/>
        <w:widowControl/>
        <w:kinsoku/>
        <w:wordWrap/>
        <w:overflowPunct/>
        <w:topLinePunct w:val="0"/>
        <w:autoSpaceDE/>
        <w:autoSpaceDN/>
        <w:bidi w:val="0"/>
        <w:adjustRightInd w:val="0"/>
        <w:snapToGrid w:val="0"/>
        <w:spacing w:before="0" w:line="560" w:lineRule="exact"/>
        <w:ind w:left="0" w:leftChars="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第二部分</w:t>
      </w:r>
      <w:r>
        <w:rPr>
          <w:rFonts w:hint="eastAsia" w:ascii="Times New Roman" w:hAnsi="Times New Roman" w:eastAsia="仿宋_GB2312" w:cs="仿宋_GB2312"/>
          <w:color w:val="auto"/>
          <w:sz w:val="32"/>
          <w:szCs w:val="32"/>
          <w:highlight w:val="none"/>
          <w:lang w:val="en-US" w:eastAsia="zh-CN"/>
        </w:rPr>
        <w:t xml:space="preserve"> 2023年度</w:t>
      </w:r>
      <w:r>
        <w:rPr>
          <w:rFonts w:hint="eastAsia" w:ascii="Times New Roman" w:hAnsi="Times New Roman" w:eastAsia="仿宋_GB2312" w:cs="仿宋_GB2312"/>
          <w:color w:val="auto"/>
          <w:sz w:val="32"/>
          <w:szCs w:val="32"/>
          <w:highlight w:val="none"/>
          <w:lang w:eastAsia="zh-CN"/>
        </w:rPr>
        <w:t>单位</w:t>
      </w:r>
      <w:r>
        <w:rPr>
          <w:rFonts w:hint="eastAsia" w:ascii="Times New Roman" w:hAnsi="Times New Roman" w:eastAsia="仿宋_GB2312" w:cs="仿宋_GB2312"/>
          <w:color w:val="auto"/>
          <w:sz w:val="32"/>
          <w:szCs w:val="32"/>
          <w:highlight w:val="none"/>
        </w:rPr>
        <w:t>决算情况说明</w:t>
      </w:r>
    </w:p>
    <w:p w14:paraId="0AE7C228">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一、收入支出决算总体情况说明</w:t>
      </w:r>
    </w:p>
    <w:p w14:paraId="7106AB59">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二、收入决算情况说明</w:t>
      </w:r>
    </w:p>
    <w:p w14:paraId="04F6D2C5">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p>
    <w:p w14:paraId="1C4253C7">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p>
    <w:p w14:paraId="09112F86">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p>
    <w:p w14:paraId="024332D3">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六、一般公共预算财政拨款基本支出决算情况说明</w:t>
      </w:r>
    </w:p>
    <w:p w14:paraId="1338A8B6">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p>
    <w:p w14:paraId="33D9BDF2">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p>
    <w:p w14:paraId="7DDEA051">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九、国有资本经营预算支出决算情况说明</w:t>
      </w:r>
    </w:p>
    <w:p w14:paraId="4F92941F">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rPr>
        <w:t>十、其他重要事项的情况说明</w:t>
      </w:r>
    </w:p>
    <w:p w14:paraId="785A61A9">
      <w:pPr>
        <w:pStyle w:val="10"/>
        <w:keepNext w:val="0"/>
        <w:keepLines w:val="0"/>
        <w:pageBreakBefore w:val="0"/>
        <w:widowControl/>
        <w:kinsoku/>
        <w:wordWrap/>
        <w:overflowPunct/>
        <w:topLinePunct w:val="0"/>
        <w:autoSpaceDE/>
        <w:autoSpaceDN/>
        <w:bidi w:val="0"/>
        <w:adjustRightInd w:val="0"/>
        <w:snapToGrid w:val="0"/>
        <w:spacing w:before="0" w:line="560" w:lineRule="exact"/>
        <w:ind w:left="0" w:leftChars="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第三部分 名词解释</w:t>
      </w:r>
    </w:p>
    <w:p w14:paraId="6436BBA4">
      <w:pPr>
        <w:pStyle w:val="10"/>
        <w:keepNext w:val="0"/>
        <w:keepLines w:val="0"/>
        <w:pageBreakBefore w:val="0"/>
        <w:widowControl/>
        <w:kinsoku/>
        <w:wordWrap/>
        <w:overflowPunct/>
        <w:topLinePunct w:val="0"/>
        <w:autoSpaceDE/>
        <w:autoSpaceDN/>
        <w:bidi w:val="0"/>
        <w:adjustRightInd w:val="0"/>
        <w:snapToGrid w:val="0"/>
        <w:spacing w:before="0" w:line="560" w:lineRule="exact"/>
        <w:ind w:left="0" w:leftChars="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第四部分 附件</w:t>
      </w:r>
    </w:p>
    <w:p w14:paraId="22BED05E">
      <w:pPr>
        <w:pStyle w:val="10"/>
        <w:keepNext w:val="0"/>
        <w:keepLines w:val="0"/>
        <w:pageBreakBefore w:val="0"/>
        <w:widowControl/>
        <w:kinsoku/>
        <w:wordWrap/>
        <w:overflowPunct/>
        <w:topLinePunct w:val="0"/>
        <w:autoSpaceDE/>
        <w:autoSpaceDN/>
        <w:bidi w:val="0"/>
        <w:adjustRightInd w:val="0"/>
        <w:snapToGrid w:val="0"/>
        <w:spacing w:before="0" w:line="560" w:lineRule="exact"/>
        <w:ind w:left="0" w:leftChars="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第五部分 附表</w:t>
      </w:r>
    </w:p>
    <w:p w14:paraId="68361169">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p>
    <w:p w14:paraId="56A4DDBE">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sectPr>
          <w:footerReference r:id="rId3" w:type="default"/>
          <w:pgSz w:w="11906" w:h="16838"/>
          <w:pgMar w:top="1984" w:right="1587" w:bottom="2041" w:left="1531" w:header="851" w:footer="992" w:gutter="0"/>
          <w:pgNumType w:start="1"/>
          <w:cols w:space="0" w:num="1"/>
          <w:rtlGutter w:val="0"/>
          <w:docGrid w:type="lines" w:linePitch="312" w:charSpace="0"/>
        </w:sectPr>
      </w:pPr>
    </w:p>
    <w:p w14:paraId="069D7F34">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596A5AD4">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515BFAFD">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5AF4FABD">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251B7019">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5CA57F31">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6BB83CD2">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1FA24FD7">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5411D89D">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37DF7984">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641798F6">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529C4D20">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7B6DAEAF">
      <w:pPr>
        <w:pStyle w:val="12"/>
        <w:keepNext w:val="0"/>
        <w:keepLines w:val="0"/>
        <w:pageBreakBefore w:val="0"/>
        <w:widowControl/>
        <w:kinsoku/>
        <w:wordWrap/>
        <w:overflowPunct/>
        <w:topLinePunct w:val="0"/>
        <w:autoSpaceDE/>
        <w:autoSpaceDN/>
        <w:bidi w:val="0"/>
        <w:adjustRightInd w:val="0"/>
        <w:snapToGrid w:val="0"/>
        <w:spacing w:line="560" w:lineRule="exact"/>
        <w:ind w:left="0" w:leftChars="0" w:firstLine="640" w:firstLineChars="200"/>
        <w:jc w:val="left"/>
        <w:textAlignment w:val="baseline"/>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14:paraId="3BAE749A">
      <w:pPr>
        <w:pStyle w:val="3"/>
        <w:pageBreakBefore w:val="0"/>
        <w:kinsoku/>
        <w:wordWrap/>
        <w:overflowPunct/>
        <w:topLinePunct w:val="0"/>
        <w:bidi w:val="0"/>
        <w:spacing w:before="0" w:after="0" w:line="560" w:lineRule="exact"/>
        <w:ind w:left="0" w:leftChars="0"/>
        <w:jc w:val="center"/>
        <w:rPr>
          <w:rFonts w:hint="eastAsia" w:ascii="Times New Roman" w:hAnsi="Times New Roman" w:eastAsia="黑体"/>
          <w:b w:val="0"/>
          <w:color w:val="auto"/>
          <w:highlight w:val="none"/>
        </w:rPr>
        <w:sectPr>
          <w:footerReference r:id="rId4" w:type="default"/>
          <w:pgSz w:w="11906" w:h="16838"/>
          <w:pgMar w:top="1984" w:right="1587" w:bottom="2041" w:left="1531" w:header="851" w:footer="992" w:gutter="0"/>
          <w:cols w:space="0" w:num="1"/>
          <w:rtlGutter w:val="0"/>
          <w:docGrid w:type="lines" w:linePitch="312" w:charSpace="0"/>
        </w:sectPr>
      </w:pPr>
    </w:p>
    <w:p w14:paraId="6437F14E">
      <w:pPr>
        <w:pStyle w:val="3"/>
        <w:pageBreakBefore w:val="0"/>
        <w:kinsoku/>
        <w:wordWrap/>
        <w:overflowPunct/>
        <w:topLinePunct w:val="0"/>
        <w:bidi w:val="0"/>
        <w:spacing w:before="0" w:after="0" w:line="560" w:lineRule="exact"/>
        <w:ind w:left="0" w:leftChars="0"/>
        <w:jc w:val="center"/>
        <w:rPr>
          <w:rFonts w:ascii="Times New Roman" w:hAnsi="Times New Roman" w:eastAsia="黑体"/>
          <w:color w:val="auto"/>
          <w:sz w:val="32"/>
          <w:szCs w:val="32"/>
          <w:highlight w:val="none"/>
        </w:rPr>
      </w:pPr>
      <w:r>
        <w:rPr>
          <w:rFonts w:hint="eastAsia" w:ascii="Times New Roman" w:hAnsi="Times New Roman" w:eastAsia="黑体"/>
          <w:b w:val="0"/>
          <w:color w:val="auto"/>
          <w:highlight w:val="none"/>
        </w:rPr>
        <w:t xml:space="preserve">第一部分 </w:t>
      </w:r>
      <w:r>
        <w:rPr>
          <w:rFonts w:hint="eastAsia" w:ascii="Times New Roman" w:hAnsi="Times New Roman" w:eastAsia="黑体"/>
          <w:b w:val="0"/>
          <w:color w:val="auto"/>
          <w:highlight w:val="none"/>
          <w:lang w:eastAsia="zh-CN"/>
        </w:rPr>
        <w:t>单位</w:t>
      </w:r>
      <w:r>
        <w:rPr>
          <w:rStyle w:val="19"/>
          <w:rFonts w:hint="eastAsia" w:ascii="Times New Roman" w:hAnsi="Times New Roman" w:eastAsia="黑体"/>
          <w:b w:val="0"/>
          <w:bCs w:val="0"/>
          <w:color w:val="auto"/>
          <w:highlight w:val="none"/>
        </w:rPr>
        <w:t>概况</w:t>
      </w:r>
    </w:p>
    <w:p w14:paraId="39BA40BB">
      <w:pPr>
        <w:pStyle w:val="4"/>
        <w:pageBreakBefore w:val="0"/>
        <w:numPr>
          <w:ilvl w:val="0"/>
          <w:numId w:val="1"/>
        </w:numPr>
        <w:kinsoku/>
        <w:wordWrap/>
        <w:overflowPunct/>
        <w:topLinePunct w:val="0"/>
        <w:bidi w:val="0"/>
        <w:spacing w:before="0" w:after="0" w:line="560" w:lineRule="exact"/>
        <w:ind w:left="0" w:leftChars="0" w:right="0"/>
        <w:jc w:val="left"/>
        <w:rPr>
          <w:rStyle w:val="20"/>
          <w:rFonts w:hint="eastAsia" w:ascii="Times New Roman" w:hAnsi="Times New Roman" w:eastAsia="黑体"/>
          <w:b w:val="0"/>
          <w:bCs w:val="0"/>
          <w:color w:val="auto"/>
          <w:highlight w:val="none"/>
          <w:lang w:eastAsia="zh-CN"/>
        </w:rPr>
      </w:pPr>
      <w:r>
        <w:rPr>
          <w:rStyle w:val="20"/>
          <w:rFonts w:hint="eastAsia" w:ascii="Times New Roman" w:hAnsi="Times New Roman" w:eastAsia="黑体"/>
          <w:b w:val="0"/>
          <w:bCs w:val="0"/>
          <w:color w:val="auto"/>
          <w:highlight w:val="none"/>
          <w:lang w:eastAsia="zh-CN"/>
        </w:rPr>
        <w:t>主要职责</w:t>
      </w:r>
    </w:p>
    <w:p w14:paraId="02CE8333">
      <w:pPr>
        <w:keepNext w:val="0"/>
        <w:keepLines w:val="0"/>
        <w:pageBreakBefore w:val="0"/>
        <w:kinsoku/>
        <w:wordWrap/>
        <w:overflowPunct/>
        <w:topLinePunct w:val="0"/>
        <w:autoSpaceDE/>
        <w:autoSpaceDN/>
        <w:bidi w:val="0"/>
        <w:adjustRightInd/>
        <w:snapToGrid w:val="0"/>
        <w:spacing w:beforeAutospacing="0" w:afterAutospacing="0" w:line="560" w:lineRule="exact"/>
        <w:ind w:left="0" w:leftChars="0"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学校坚持“依法治校、民主建校、质量立校、人才兴校、科技强校”办学理念，秉承“敬业、博爱、求是、创新”校训，大力弘扬“艰苦奋斗、自强不息”办学精神，坚持“以人为本，以质量为生命”的办学思想，承担医学应用型人才培养、科学研究、推进文化传承、创新服务社会的四大职能，现已成为一所以医学为主体，医、文、管、法、工、教多学科协调发展的省属高等医学院校。</w:t>
      </w:r>
    </w:p>
    <w:p w14:paraId="092B0A8B">
      <w:pPr>
        <w:pageBreakBefore w:val="0"/>
        <w:kinsoku/>
        <w:wordWrap/>
        <w:overflowPunct/>
        <w:topLinePunct w:val="0"/>
        <w:bidi w:val="0"/>
        <w:spacing w:line="560" w:lineRule="exact"/>
        <w:ind w:left="0" w:leftChars="0"/>
        <w:rPr>
          <w:rFonts w:hint="eastAsia" w:ascii="Times New Roman" w:hAnsi="Times New Roman"/>
          <w:lang w:eastAsia="zh-CN"/>
        </w:rPr>
      </w:pPr>
    </w:p>
    <w:p w14:paraId="3D24E9C9">
      <w:pPr>
        <w:pStyle w:val="4"/>
        <w:pageBreakBefore w:val="0"/>
        <w:numPr>
          <w:ilvl w:val="0"/>
          <w:numId w:val="1"/>
        </w:numPr>
        <w:kinsoku/>
        <w:wordWrap/>
        <w:overflowPunct/>
        <w:topLinePunct w:val="0"/>
        <w:bidi w:val="0"/>
        <w:spacing w:before="0" w:after="0" w:line="560" w:lineRule="exact"/>
        <w:ind w:left="0" w:leftChars="0" w:right="0" w:firstLine="0" w:firstLineChars="0"/>
        <w:jc w:val="left"/>
        <w:rPr>
          <w:rFonts w:hint="eastAsia" w:ascii="Times New Roman" w:hAnsi="Times New Roman" w:eastAsia="黑体"/>
          <w:b w:val="0"/>
          <w:color w:val="auto"/>
          <w:highlight w:val="none"/>
          <w:lang w:val="en-US" w:eastAsia="zh-CN"/>
        </w:rPr>
      </w:pPr>
      <w:r>
        <w:rPr>
          <w:rFonts w:hint="eastAsia" w:ascii="Times New Roman" w:hAnsi="Times New Roman" w:eastAsia="黑体"/>
          <w:b w:val="0"/>
          <w:color w:val="auto"/>
          <w:highlight w:val="none"/>
          <w:lang w:val="en-US" w:eastAsia="zh-CN"/>
        </w:rPr>
        <w:t>机构设置</w:t>
      </w:r>
    </w:p>
    <w:p w14:paraId="5A9EC42A">
      <w:pPr>
        <w:pageBreakBefore w:val="0"/>
        <w:widowControl/>
        <w:kinsoku/>
        <w:wordWrap/>
        <w:overflowPunct/>
        <w:topLinePunct w:val="0"/>
        <w:bidi w:val="0"/>
        <w:spacing w:line="560" w:lineRule="exact"/>
        <w:ind w:left="0" w:leftChars="0" w:right="0" w:firstLine="640" w:firstLineChars="200"/>
        <w:jc w:val="left"/>
        <w:rPr>
          <w:rFonts w:ascii="Times New Roman" w:hAnsi="Times New Roman" w:eastAsia="仿宋"/>
          <w:color w:val="auto"/>
          <w:kern w:val="0"/>
          <w:sz w:val="32"/>
          <w:szCs w:val="32"/>
          <w:highlight w:val="none"/>
        </w:rPr>
      </w:pPr>
      <w:r>
        <w:rPr>
          <w:rFonts w:hint="eastAsia" w:ascii="Times New Roman" w:hAnsi="Times New Roman" w:eastAsia="仿宋_GB2312"/>
          <w:sz w:val="32"/>
          <w:szCs w:val="32"/>
        </w:rPr>
        <w:t>川北医学院为四川省教育厅举办的公立高等医学院校，坐落在四川省历史文化名城、三国文化发祥地——南充市，现有顺庆和高坪两个校区，占地面积1000余亩。</w:t>
      </w:r>
      <w:r>
        <w:rPr>
          <w:rFonts w:hint="eastAsia" w:ascii="Times New Roman" w:hAnsi="Times New Roman" w:eastAsia="仿宋_GB2312"/>
          <w:color w:val="000000" w:themeColor="text1"/>
          <w:sz w:val="32"/>
          <w:szCs w:val="32"/>
          <w14:textFill>
            <w14:solidFill>
              <w14:schemeClr w14:val="tx1"/>
            </w14:solidFill>
          </w14:textFill>
        </w:rPr>
        <w:t>建有19个二级学院（系），开设26个本科专业。现有国家级一流本科专业建设</w:t>
      </w:r>
      <w:r>
        <w:rPr>
          <w:rFonts w:hint="eastAsia" w:ascii="Times New Roman" w:hAnsi="Times New Roman" w:eastAsia="仿宋_GB2312"/>
          <w:color w:val="000000" w:themeColor="text1"/>
          <w:sz w:val="32"/>
          <w:szCs w:val="32"/>
          <w:highlight w:val="none"/>
          <w14:textFill>
            <w14:solidFill>
              <w14:schemeClr w14:val="tx1"/>
            </w14:solidFill>
          </w14:textFill>
        </w:rPr>
        <w:t>点3个，省级一流本科专业建设点10个；国家级特色建设专业1个，省级特色专业4个，省级应用型示范专业4个，省级课程思政示范专业2个；国家级一流本科课程5门，省级一流本科课程38门，省级应用型本科示范课程9门，省级课程思政示范课程16门；省级实验教学示范中心、省级虚拟仿真实验教学示范中心、</w:t>
      </w:r>
      <w:r>
        <w:rPr>
          <w:rFonts w:hint="eastAsia" w:ascii="Times New Roman" w:hAnsi="Times New Roman" w:eastAsia="仿宋_GB2312"/>
          <w:color w:val="000000" w:themeColor="text1"/>
          <w:sz w:val="32"/>
          <w:szCs w:val="32"/>
          <w14:textFill>
            <w14:solidFill>
              <w14:schemeClr w14:val="tx1"/>
            </w14:solidFill>
          </w14:textFill>
        </w:rPr>
        <w:t>省级虚拟仿真实验教学项目9个；3所直属附属医院、11所非直属附属医院、68所教学实习医院。</w:t>
      </w:r>
    </w:p>
    <w:p w14:paraId="033BE824">
      <w:pPr>
        <w:pStyle w:val="3"/>
        <w:pageBreakBefore w:val="0"/>
        <w:kinsoku/>
        <w:wordWrap/>
        <w:overflowPunct/>
        <w:topLinePunct w:val="0"/>
        <w:bidi w:val="0"/>
        <w:spacing w:before="0" w:after="0" w:line="560" w:lineRule="exact"/>
        <w:ind w:left="0" w:leftChars="0" w:right="0"/>
        <w:jc w:val="center"/>
        <w:rPr>
          <w:rStyle w:val="19"/>
          <w:rFonts w:ascii="Times New Roman" w:hAnsi="Times New Roman" w:eastAsia="黑体"/>
          <w:b w:val="0"/>
          <w:bCs/>
          <w:color w:val="auto"/>
          <w:highlight w:val="none"/>
        </w:rPr>
      </w:pPr>
      <w:r>
        <w:rPr>
          <w:rFonts w:hint="eastAsia" w:ascii="Times New Roman" w:hAnsi="Times New Roman" w:eastAsia="黑体"/>
          <w:b w:val="0"/>
          <w:bCs/>
          <w:color w:val="auto"/>
          <w:highlight w:val="none"/>
        </w:rPr>
        <w:t xml:space="preserve">第二部分 </w:t>
      </w:r>
      <w:r>
        <w:rPr>
          <w:rFonts w:hint="eastAsia" w:ascii="Times New Roman" w:hAnsi="Times New Roman" w:eastAsia="黑体"/>
          <w:b w:val="0"/>
          <w:bCs/>
          <w:color w:val="auto"/>
          <w:highlight w:val="none"/>
          <w:lang w:val="en-US" w:eastAsia="zh-CN"/>
        </w:rPr>
        <w:t>2023年度</w:t>
      </w:r>
      <w:r>
        <w:rPr>
          <w:rStyle w:val="19"/>
          <w:rFonts w:hint="eastAsia" w:ascii="Times New Roman" w:hAnsi="Times New Roman" w:eastAsia="黑体"/>
          <w:b w:val="0"/>
          <w:bCs/>
          <w:color w:val="auto"/>
          <w:highlight w:val="none"/>
          <w:lang w:eastAsia="zh-CN"/>
        </w:rPr>
        <w:t>单位</w:t>
      </w:r>
      <w:r>
        <w:rPr>
          <w:rStyle w:val="19"/>
          <w:rFonts w:hint="eastAsia" w:ascii="Times New Roman" w:hAnsi="Times New Roman" w:eastAsia="黑体"/>
          <w:b w:val="0"/>
          <w:bCs/>
          <w:color w:val="auto"/>
          <w:highlight w:val="none"/>
        </w:rPr>
        <w:t>决算情况说明</w:t>
      </w:r>
    </w:p>
    <w:p w14:paraId="0B9DCA6E">
      <w:pPr>
        <w:pageBreakBefore w:val="0"/>
        <w:kinsoku/>
        <w:wordWrap/>
        <w:overflowPunct/>
        <w:topLinePunct w:val="0"/>
        <w:bidi w:val="0"/>
        <w:spacing w:line="560" w:lineRule="exact"/>
        <w:ind w:left="0" w:leftChars="0" w:right="0"/>
        <w:jc w:val="left"/>
        <w:rPr>
          <w:rFonts w:ascii="Times New Roman" w:hAnsi="Times New Roman"/>
          <w:color w:val="auto"/>
          <w:highlight w:val="none"/>
        </w:rPr>
      </w:pPr>
    </w:p>
    <w:p w14:paraId="62055B2F">
      <w:pPr>
        <w:pStyle w:val="21"/>
        <w:keepNext w:val="0"/>
        <w:keepLines w:val="0"/>
        <w:pageBreakBefore w:val="0"/>
        <w:numPr>
          <w:ilvl w:val="0"/>
          <w:numId w:val="0"/>
        </w:numPr>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eastAsia="黑体"/>
          <w:b w:val="0"/>
          <w:color w:val="auto"/>
          <w:highlight w:val="none"/>
        </w:rPr>
      </w:pPr>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20"/>
          <w:rFonts w:hint="eastAsia" w:ascii="Times New Roman" w:hAnsi="Times New Roman" w:eastAsia="黑体"/>
          <w:b w:val="0"/>
          <w:color w:val="auto"/>
          <w:highlight w:val="none"/>
        </w:rPr>
        <w:t>入支出决算总体情况说明</w:t>
      </w:r>
    </w:p>
    <w:p w14:paraId="044B45C8">
      <w:pPr>
        <w:keepNext w:val="0"/>
        <w:keepLines w:val="0"/>
        <w:pageBreakBefore w:val="0"/>
        <w:kinsoku/>
        <w:wordWrap/>
        <w:overflowPunct/>
        <w:topLinePunct w:val="0"/>
        <w:bidi w:val="0"/>
        <w:snapToGrid/>
        <w:spacing w:line="560" w:lineRule="exact"/>
        <w:ind w:left="0" w:leftChars="0" w:right="0" w:firstLine="640" w:firstLineChars="200"/>
        <w:jc w:val="left"/>
        <w:rPr>
          <w:rFonts w:hint="eastAsia" w:ascii="Times New Roman" w:hAnsi="Times New Roman" w:eastAsia="仿宋_GB2312"/>
          <w:color w:val="auto"/>
          <w:sz w:val="32"/>
          <w:szCs w:val="32"/>
        </w:rPr>
      </w:pP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年度收</w:t>
      </w:r>
      <w:r>
        <w:rPr>
          <w:rFonts w:hint="eastAsia" w:ascii="Times New Roman" w:hAnsi="Times New Roman" w:eastAsia="仿宋"/>
          <w:color w:val="auto"/>
          <w:sz w:val="32"/>
          <w:szCs w:val="32"/>
          <w:highlight w:val="none"/>
          <w:lang w:eastAsia="zh-CN"/>
        </w:rPr>
        <w:t>入</w:t>
      </w:r>
      <w:r>
        <w:rPr>
          <w:rFonts w:hint="eastAsia" w:ascii="Times New Roman" w:hAnsi="Times New Roman" w:eastAsia="仿宋"/>
          <w:color w:val="auto"/>
          <w:sz w:val="32"/>
          <w:szCs w:val="32"/>
          <w:highlight w:val="none"/>
        </w:rPr>
        <w:t>总计</w:t>
      </w:r>
      <w:r>
        <w:rPr>
          <w:rFonts w:hint="eastAsia" w:ascii="Times New Roman" w:hAnsi="Times New Roman" w:eastAsia="仿宋_GB2312"/>
          <w:sz w:val="32"/>
          <w:szCs w:val="32"/>
          <w:lang w:val="en-US" w:eastAsia="zh-CN"/>
        </w:rPr>
        <w:t>60078.81</w:t>
      </w:r>
      <w:r>
        <w:rPr>
          <w:rFonts w:hint="eastAsia" w:ascii="Times New Roman" w:hAnsi="Times New Roman" w:eastAsia="仿宋"/>
          <w:color w:val="auto"/>
          <w:sz w:val="32"/>
          <w:szCs w:val="32"/>
          <w:highlight w:val="none"/>
        </w:rPr>
        <w:t>万元。与</w:t>
      </w:r>
      <w:r>
        <w:rPr>
          <w:rFonts w:hint="eastAsia" w:ascii="Times New Roman" w:hAnsi="Times New Roman" w:eastAsia="仿宋"/>
          <w:color w:val="auto"/>
          <w:sz w:val="32"/>
          <w:szCs w:val="32"/>
          <w:highlight w:val="none"/>
          <w:lang w:eastAsia="zh-CN"/>
        </w:rPr>
        <w:t>2022</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相比，</w:t>
      </w:r>
      <w:r>
        <w:rPr>
          <w:rFonts w:hint="eastAsia" w:ascii="Times New Roman" w:hAnsi="Times New Roman" w:eastAsia="仿宋_GB2312"/>
          <w:color w:val="auto"/>
          <w:sz w:val="32"/>
          <w:szCs w:val="32"/>
          <w:lang w:val="en-US" w:eastAsia="zh-CN"/>
        </w:rPr>
        <w:t>减少509.14</w:t>
      </w:r>
      <w:r>
        <w:rPr>
          <w:rFonts w:hint="eastAsia" w:ascii="Times New Roman" w:hAnsi="Times New Roman" w:eastAsia="仿宋"/>
          <w:color w:val="auto"/>
          <w:sz w:val="32"/>
          <w:szCs w:val="32"/>
          <w:highlight w:val="none"/>
        </w:rPr>
        <w:t>万元，下降</w:t>
      </w:r>
      <w:r>
        <w:rPr>
          <w:rFonts w:hint="eastAsia" w:ascii="Times New Roman" w:hAnsi="Times New Roman" w:eastAsia="仿宋"/>
          <w:color w:val="auto"/>
          <w:sz w:val="32"/>
          <w:szCs w:val="32"/>
          <w:highlight w:val="none"/>
          <w:lang w:val="en-US" w:eastAsia="zh-CN"/>
        </w:rPr>
        <w:t>0.8</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。主要变动原因是</w:t>
      </w:r>
      <w:r>
        <w:rPr>
          <w:rFonts w:hint="eastAsia" w:ascii="Times New Roman" w:hAnsi="Times New Roman" w:eastAsia="仿宋"/>
          <w:color w:val="auto"/>
          <w:sz w:val="32"/>
          <w:szCs w:val="32"/>
          <w:highlight w:val="none"/>
          <w:lang w:eastAsia="zh-CN"/>
        </w:rPr>
        <w:t>：</w:t>
      </w:r>
      <w:r>
        <w:rPr>
          <w:rFonts w:hint="eastAsia" w:ascii="Times New Roman" w:hAnsi="Times New Roman" w:eastAsia="仿宋_GB2312"/>
          <w:color w:val="auto"/>
          <w:sz w:val="32"/>
          <w:szCs w:val="32"/>
        </w:rPr>
        <w:t>财政拨款收入</w:t>
      </w:r>
      <w:r>
        <w:rPr>
          <w:rFonts w:hint="eastAsia" w:ascii="Times New Roman" w:hAnsi="Times New Roman" w:eastAsia="仿宋_GB2312"/>
          <w:color w:val="auto"/>
          <w:sz w:val="32"/>
          <w:szCs w:val="32"/>
          <w:lang w:val="en-US" w:eastAsia="zh-CN"/>
        </w:rPr>
        <w:t>减少总量大于事业收入和其他收入增加总量</w:t>
      </w:r>
      <w:r>
        <w:rPr>
          <w:rFonts w:hint="eastAsia" w:ascii="Times New Roman" w:hAnsi="Times New Roman" w:eastAsia="仿宋_GB2312"/>
          <w:color w:val="auto"/>
          <w:sz w:val="32"/>
          <w:szCs w:val="32"/>
        </w:rPr>
        <w:t>。</w:t>
      </w:r>
    </w:p>
    <w:p w14:paraId="63DC3CFF">
      <w:pPr>
        <w:keepNext w:val="0"/>
        <w:keepLines w:val="0"/>
        <w:pageBreakBefore w:val="0"/>
        <w:kinsoku/>
        <w:wordWrap/>
        <w:overflowPunct/>
        <w:topLinePunct w:val="0"/>
        <w:bidi w:val="0"/>
        <w:snapToGrid/>
        <w:spacing w:line="560" w:lineRule="exact"/>
        <w:ind w:left="0" w:leftChars="0" w:right="0" w:firstLine="640" w:firstLineChars="200"/>
        <w:jc w:val="left"/>
        <w:rPr>
          <w:rFonts w:hint="eastAsia" w:ascii="Times New Roman" w:hAnsi="Times New Roman" w:eastAsia="仿宋_GB2312"/>
          <w:color w:val="auto"/>
          <w:sz w:val="32"/>
          <w:szCs w:val="32"/>
          <w:lang w:eastAsia="zh-CN"/>
        </w:rPr>
      </w:pP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年度</w:t>
      </w:r>
      <w:r>
        <w:rPr>
          <w:rFonts w:hint="eastAsia" w:ascii="Times New Roman" w:hAnsi="Times New Roman" w:eastAsia="仿宋"/>
          <w:color w:val="auto"/>
          <w:sz w:val="32"/>
          <w:szCs w:val="32"/>
          <w:highlight w:val="none"/>
          <w:lang w:eastAsia="zh-CN"/>
        </w:rPr>
        <w:t>支出</w:t>
      </w:r>
      <w:r>
        <w:rPr>
          <w:rFonts w:hint="eastAsia" w:ascii="Times New Roman" w:hAnsi="Times New Roman" w:eastAsia="仿宋"/>
          <w:color w:val="auto"/>
          <w:sz w:val="32"/>
          <w:szCs w:val="32"/>
          <w:highlight w:val="none"/>
        </w:rPr>
        <w:t>总计</w:t>
      </w:r>
      <w:r>
        <w:rPr>
          <w:rFonts w:hint="eastAsia" w:ascii="Times New Roman" w:hAnsi="Times New Roman" w:eastAsia="仿宋_GB2312"/>
          <w:sz w:val="32"/>
          <w:szCs w:val="32"/>
          <w:lang w:val="en-US" w:eastAsia="zh-CN"/>
        </w:rPr>
        <w:t>64217.15</w:t>
      </w:r>
      <w:r>
        <w:rPr>
          <w:rFonts w:hint="eastAsia" w:ascii="Times New Roman" w:hAnsi="Times New Roman" w:eastAsia="仿宋"/>
          <w:color w:val="auto"/>
          <w:sz w:val="32"/>
          <w:szCs w:val="32"/>
          <w:highlight w:val="none"/>
        </w:rPr>
        <w:t>万元。与</w:t>
      </w:r>
      <w:r>
        <w:rPr>
          <w:rFonts w:hint="eastAsia" w:ascii="Times New Roman" w:hAnsi="Times New Roman" w:eastAsia="仿宋"/>
          <w:color w:val="auto"/>
          <w:sz w:val="32"/>
          <w:szCs w:val="32"/>
          <w:highlight w:val="none"/>
          <w:lang w:eastAsia="zh-CN"/>
        </w:rPr>
        <w:t>2022</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相比，</w:t>
      </w:r>
      <w:r>
        <w:rPr>
          <w:rFonts w:hint="eastAsia" w:ascii="Times New Roman" w:hAnsi="Times New Roman" w:eastAsia="仿宋"/>
          <w:color w:val="auto"/>
          <w:sz w:val="32"/>
          <w:szCs w:val="32"/>
          <w:highlight w:val="none"/>
          <w:lang w:eastAsia="zh-CN"/>
        </w:rPr>
        <w:t>增加</w:t>
      </w:r>
      <w:r>
        <w:rPr>
          <w:rFonts w:hint="eastAsia" w:ascii="Times New Roman" w:hAnsi="Times New Roman" w:eastAsia="仿宋_GB2312"/>
          <w:color w:val="auto"/>
          <w:sz w:val="32"/>
          <w:szCs w:val="32"/>
          <w:lang w:val="en-US" w:eastAsia="zh-CN"/>
        </w:rPr>
        <w:t>408.33</w:t>
      </w:r>
      <w:r>
        <w:rPr>
          <w:rFonts w:hint="eastAsia" w:ascii="Times New Roman" w:hAnsi="Times New Roman" w:eastAsia="仿宋"/>
          <w:color w:val="auto"/>
          <w:sz w:val="32"/>
          <w:szCs w:val="32"/>
          <w:highlight w:val="none"/>
        </w:rPr>
        <w:t>万元，</w:t>
      </w:r>
      <w:r>
        <w:rPr>
          <w:rFonts w:hint="eastAsia" w:ascii="Times New Roman" w:hAnsi="Times New Roman" w:eastAsia="仿宋"/>
          <w:color w:val="auto"/>
          <w:sz w:val="32"/>
          <w:szCs w:val="32"/>
          <w:highlight w:val="none"/>
          <w:lang w:eastAsia="zh-CN"/>
        </w:rPr>
        <w:t>增长</w:t>
      </w:r>
      <w:r>
        <w:rPr>
          <w:rFonts w:hint="eastAsia" w:ascii="Times New Roman" w:hAnsi="Times New Roman" w:eastAsia="仿宋"/>
          <w:color w:val="auto"/>
          <w:sz w:val="32"/>
          <w:szCs w:val="32"/>
          <w:highlight w:val="none"/>
          <w:lang w:val="en-US" w:eastAsia="zh-CN"/>
        </w:rPr>
        <w:t>0.6</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。主要变动原因是</w:t>
      </w:r>
      <w:r>
        <w:rPr>
          <w:rFonts w:hint="eastAsia" w:ascii="Times New Roman" w:hAnsi="Times New Roman" w:eastAsia="仿宋_GB2312"/>
          <w:color w:val="auto"/>
          <w:sz w:val="32"/>
          <w:szCs w:val="32"/>
          <w:lang w:eastAsia="zh-CN"/>
        </w:rPr>
        <w:t>：</w:t>
      </w:r>
      <w:r>
        <w:rPr>
          <w:rFonts w:hint="eastAsia" w:ascii="Times New Roman" w:hAnsi="Times New Roman" w:eastAsia="仿宋_GB2312"/>
          <w:color w:val="auto"/>
          <w:sz w:val="32"/>
          <w:szCs w:val="32"/>
        </w:rPr>
        <w:t>其中人员经费支出较</w:t>
      </w:r>
      <w:r>
        <w:rPr>
          <w:rFonts w:hint="eastAsia" w:ascii="Times New Roman" w:hAnsi="Times New Roman" w:eastAsia="仿宋_GB2312"/>
          <w:color w:val="auto"/>
          <w:sz w:val="32"/>
          <w:szCs w:val="32"/>
          <w:lang w:eastAsia="zh-CN"/>
        </w:rPr>
        <w:t>上年</w:t>
      </w:r>
      <w:r>
        <w:rPr>
          <w:rFonts w:hint="eastAsia" w:ascii="Times New Roman" w:hAnsi="Times New Roman" w:eastAsia="仿宋_GB2312"/>
          <w:color w:val="auto"/>
          <w:sz w:val="32"/>
          <w:szCs w:val="32"/>
        </w:rPr>
        <w:t>增加</w:t>
      </w:r>
      <w:r>
        <w:rPr>
          <w:rFonts w:hint="eastAsia" w:ascii="Times New Roman" w:hAnsi="Times New Roman" w:eastAsia="仿宋_GB2312"/>
          <w:color w:val="auto"/>
          <w:sz w:val="32"/>
          <w:szCs w:val="32"/>
          <w:lang w:val="en-US" w:eastAsia="zh-CN"/>
        </w:rPr>
        <w:t>6500.46</w:t>
      </w:r>
      <w:r>
        <w:rPr>
          <w:rFonts w:hint="eastAsia" w:ascii="Times New Roman" w:hAnsi="Times New Roman" w:eastAsia="仿宋_GB2312"/>
          <w:color w:val="auto"/>
          <w:sz w:val="32"/>
          <w:szCs w:val="32"/>
        </w:rPr>
        <w:t>万元，</w:t>
      </w:r>
      <w:r>
        <w:rPr>
          <w:rFonts w:hint="eastAsia" w:ascii="Times New Roman" w:hAnsi="Times New Roman" w:eastAsia="仿宋_GB2312"/>
          <w:color w:val="auto"/>
          <w:sz w:val="32"/>
          <w:szCs w:val="32"/>
          <w:lang w:eastAsia="zh-CN"/>
        </w:rPr>
        <w:t>一是</w:t>
      </w:r>
      <w:r>
        <w:rPr>
          <w:rFonts w:hint="eastAsia" w:ascii="Times New Roman" w:hAnsi="Times New Roman" w:eastAsia="仿宋_GB2312"/>
          <w:color w:val="auto"/>
          <w:sz w:val="32"/>
          <w:szCs w:val="32"/>
          <w:lang w:val="en-US" w:eastAsia="zh-CN"/>
        </w:rPr>
        <w:t>绩效工资标准调增，二是实际新增人员，三是学生奖助学金增加，四是抚恤金等支出增加</w:t>
      </w:r>
      <w:r>
        <w:rPr>
          <w:rFonts w:hint="eastAsia" w:ascii="Times New Roman" w:hAnsi="Times New Roman" w:eastAsia="仿宋_GB2312"/>
          <w:color w:val="auto"/>
          <w:sz w:val="32"/>
          <w:szCs w:val="32"/>
        </w:rPr>
        <w:t>；公用经费支出</w:t>
      </w:r>
      <w:r>
        <w:rPr>
          <w:rFonts w:hint="eastAsia" w:ascii="Times New Roman" w:hAnsi="Times New Roman" w:eastAsia="仿宋_GB2312"/>
          <w:color w:val="auto"/>
          <w:sz w:val="32"/>
          <w:szCs w:val="32"/>
          <w:lang w:val="en-US" w:eastAsia="zh-CN"/>
        </w:rPr>
        <w:t>增加909.18</w:t>
      </w:r>
      <w:r>
        <w:rPr>
          <w:rFonts w:hint="eastAsia" w:ascii="Times New Roman" w:hAnsi="Times New Roman" w:eastAsia="仿宋_GB2312"/>
          <w:color w:val="auto"/>
          <w:sz w:val="32"/>
          <w:szCs w:val="32"/>
        </w:rPr>
        <w:t>万元，</w:t>
      </w:r>
      <w:r>
        <w:rPr>
          <w:rFonts w:hint="eastAsia" w:ascii="Times New Roman" w:hAnsi="Times New Roman" w:eastAsia="仿宋_GB2312"/>
          <w:color w:val="auto"/>
          <w:sz w:val="32"/>
          <w:szCs w:val="32"/>
          <w:lang w:eastAsia="zh-CN"/>
        </w:rPr>
        <w:t>是</w:t>
      </w:r>
      <w:r>
        <w:rPr>
          <w:rFonts w:hint="eastAsia" w:ascii="Times New Roman" w:hAnsi="Times New Roman" w:eastAsia="仿宋_GB2312"/>
          <w:color w:val="auto"/>
          <w:sz w:val="32"/>
          <w:szCs w:val="32"/>
          <w:lang w:val="en-US" w:eastAsia="zh-CN"/>
        </w:rPr>
        <w:t>许多教学及学生活动正常开展，线下活动增加，对应支出增加</w:t>
      </w:r>
      <w:r>
        <w:rPr>
          <w:rFonts w:hint="eastAsia" w:ascii="Times New Roman" w:hAnsi="Times New Roman" w:eastAsia="仿宋_GB2312"/>
          <w:color w:val="auto"/>
          <w:sz w:val="32"/>
          <w:szCs w:val="32"/>
        </w:rPr>
        <w:t>；项目支出减少了</w:t>
      </w:r>
      <w:r>
        <w:rPr>
          <w:rFonts w:hint="eastAsia" w:ascii="Times New Roman" w:hAnsi="Times New Roman" w:eastAsia="仿宋_GB2312"/>
          <w:color w:val="auto"/>
          <w:sz w:val="32"/>
          <w:szCs w:val="32"/>
          <w:lang w:val="en-US" w:eastAsia="zh-CN"/>
        </w:rPr>
        <w:t>7001.31</w:t>
      </w:r>
      <w:r>
        <w:rPr>
          <w:rFonts w:hint="eastAsia" w:ascii="Times New Roman" w:hAnsi="Times New Roman" w:eastAsia="仿宋_GB2312"/>
          <w:color w:val="auto"/>
          <w:sz w:val="32"/>
          <w:szCs w:val="32"/>
        </w:rPr>
        <w:t>万元，</w:t>
      </w:r>
      <w:r>
        <w:rPr>
          <w:rFonts w:hint="eastAsia" w:ascii="Times New Roman" w:hAnsi="Times New Roman" w:eastAsia="仿宋_GB2312"/>
          <w:color w:val="auto"/>
          <w:sz w:val="32"/>
          <w:szCs w:val="32"/>
          <w:lang w:eastAsia="zh-CN"/>
        </w:rPr>
        <w:t>是学校有整体迁建计划，压减了部分非必要非紧急专项项目。</w:t>
      </w:r>
    </w:p>
    <w:p w14:paraId="2EF6A9E1">
      <w:pPr>
        <w:keepNext w:val="0"/>
        <w:keepLines w:val="0"/>
        <w:pageBreakBefore w:val="0"/>
        <w:kinsoku/>
        <w:wordWrap/>
        <w:overflowPunct/>
        <w:topLinePunct w:val="0"/>
        <w:bidi w:val="0"/>
        <w:snapToGrid/>
        <w:spacing w:line="560" w:lineRule="exact"/>
        <w:ind w:left="0" w:leftChars="0" w:right="0" w:firstLine="640" w:firstLineChars="200"/>
        <w:jc w:val="left"/>
        <w:rPr>
          <w:rFonts w:hint="eastAsia" w:ascii="Times New Roman" w:hAnsi="Times New Roman" w:eastAsia="仿宋_GB2312"/>
          <w:color w:val="auto"/>
          <w:sz w:val="32"/>
          <w:szCs w:val="32"/>
          <w:lang w:val="en-US" w:eastAsia="zh-CN"/>
        </w:rPr>
      </w:pPr>
      <w:r>
        <w:rPr>
          <w:rFonts w:hint="eastAsia" w:ascii="Times New Roman" w:hAnsi="Times New Roman" w:eastAsia="仿宋_GB2312"/>
          <w:color w:val="auto"/>
          <w:sz w:val="32"/>
          <w:szCs w:val="32"/>
          <w:lang w:eastAsia="zh-CN"/>
        </w:rPr>
        <w:t>详见图</w:t>
      </w:r>
      <w:r>
        <w:rPr>
          <w:rFonts w:hint="eastAsia" w:ascii="Times New Roman" w:hAnsi="Times New Roman" w:eastAsia="仿宋_GB2312"/>
          <w:color w:val="auto"/>
          <w:sz w:val="32"/>
          <w:szCs w:val="32"/>
          <w:lang w:val="en-US" w:eastAsia="zh-CN"/>
        </w:rPr>
        <w:t>1。</w:t>
      </w:r>
    </w:p>
    <w:p w14:paraId="47F8B857">
      <w:pPr>
        <w:pStyle w:val="2"/>
        <w:rPr>
          <w:rFonts w:hint="default"/>
          <w:lang w:val="en-US" w:eastAsia="zh-CN"/>
        </w:rPr>
      </w:pPr>
      <w:r>
        <w:drawing>
          <wp:anchor distT="0" distB="0" distL="114300" distR="114300" simplePos="0" relativeHeight="251661312" behindDoc="0" locked="0" layoutInCell="1" allowOverlap="1">
            <wp:simplePos x="0" y="0"/>
            <wp:positionH relativeFrom="column">
              <wp:posOffset>587375</wp:posOffset>
            </wp:positionH>
            <wp:positionV relativeFrom="paragraph">
              <wp:posOffset>92710</wp:posOffset>
            </wp:positionV>
            <wp:extent cx="4380865" cy="2613025"/>
            <wp:effectExtent l="4445" t="4445" r="15240" b="11430"/>
            <wp:wrapTopAndBottom/>
            <wp:docPr id="5"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A419EBD">
      <w:pPr>
        <w:pStyle w:val="2"/>
        <w:pageBreakBefore w:val="0"/>
        <w:kinsoku/>
        <w:wordWrap/>
        <w:overflowPunct/>
        <w:topLinePunct w:val="0"/>
        <w:bidi w:val="0"/>
        <w:spacing w:after="0" w:line="560" w:lineRule="exact"/>
        <w:ind w:left="0" w:leftChars="0"/>
        <w:jc w:val="center"/>
        <w:rPr>
          <w:rFonts w:ascii="Times New Roman" w:hAnsi="Times New Roman" w:eastAsia="仿宋_GB2312"/>
          <w:color w:val="auto"/>
          <w:sz w:val="28"/>
          <w:szCs w:val="28"/>
          <w:highlight w:val="none"/>
        </w:rPr>
      </w:pPr>
      <w:r>
        <w:rPr>
          <w:rFonts w:hint="eastAsia" w:ascii="Times New Roman" w:hAnsi="Times New Roman" w:eastAsia="仿宋"/>
          <w:color w:val="auto"/>
          <w:sz w:val="28"/>
          <w:szCs w:val="28"/>
          <w:highlight w:val="none"/>
        </w:rPr>
        <w:t>图</w:t>
      </w:r>
      <w:r>
        <w:rPr>
          <w:rFonts w:ascii="Times New Roman" w:hAnsi="Times New Roman" w:eastAsia="仿宋"/>
          <w:color w:val="auto"/>
          <w:sz w:val="28"/>
          <w:szCs w:val="28"/>
          <w:highlight w:val="none"/>
        </w:rPr>
        <w:t>1</w:t>
      </w:r>
    </w:p>
    <w:p w14:paraId="0584BD5D">
      <w:pPr>
        <w:pStyle w:val="21"/>
        <w:keepNext w:val="0"/>
        <w:keepLines w:val="0"/>
        <w:pageBreakBefore w:val="0"/>
        <w:numPr>
          <w:ilvl w:val="0"/>
          <w:numId w:val="0"/>
        </w:numPr>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eastAsia="黑体"/>
          <w:b w:val="0"/>
          <w:color w:val="auto"/>
          <w:highlight w:val="none"/>
        </w:rPr>
      </w:pPr>
      <w:r>
        <w:rPr>
          <w:rFonts w:hint="eastAsia" w:ascii="Times New Roman" w:hAnsi="Times New Roman" w:eastAsia="黑体"/>
          <w:color w:val="auto"/>
          <w:sz w:val="32"/>
          <w:szCs w:val="32"/>
          <w:highlight w:val="none"/>
          <w:lang w:eastAsia="zh-CN"/>
        </w:rPr>
        <w:t>二、</w:t>
      </w:r>
      <w:r>
        <w:rPr>
          <w:rFonts w:hint="eastAsia" w:ascii="Times New Roman" w:hAnsi="Times New Roman" w:eastAsia="黑体"/>
          <w:color w:val="auto"/>
          <w:sz w:val="32"/>
          <w:szCs w:val="32"/>
          <w:highlight w:val="none"/>
        </w:rPr>
        <w:t>收</w:t>
      </w:r>
      <w:r>
        <w:rPr>
          <w:rStyle w:val="20"/>
          <w:rFonts w:hint="eastAsia" w:ascii="Times New Roman" w:hAnsi="Times New Roman" w:eastAsia="黑体"/>
          <w:b w:val="0"/>
          <w:color w:val="auto"/>
          <w:highlight w:val="none"/>
        </w:rPr>
        <w:t>入决算情况说明</w:t>
      </w:r>
    </w:p>
    <w:p w14:paraId="5C38BA94">
      <w:pPr>
        <w:keepNext w:val="0"/>
        <w:keepLines w:val="0"/>
        <w:pageBreakBefore w:val="0"/>
        <w:kinsoku/>
        <w:wordWrap/>
        <w:overflowPunct/>
        <w:topLinePunct w:val="0"/>
        <w:bidi w:val="0"/>
        <w:snapToGrid/>
        <w:spacing w:line="560" w:lineRule="exact"/>
        <w:ind w:left="0" w:leftChars="0" w:right="0" w:firstLine="640" w:firstLineChars="200"/>
        <w:jc w:val="left"/>
        <w:outlineLvl w:val="1"/>
        <w:rPr>
          <w:rFonts w:hint="eastAsia" w:ascii="Times New Roman" w:hAnsi="Times New Roman" w:eastAsia="仿宋"/>
          <w:color w:val="auto"/>
          <w:sz w:val="32"/>
          <w:szCs w:val="32"/>
          <w:highlight w:val="none"/>
          <w:lang w:val="en-US" w:eastAsia="zh-CN"/>
        </w:rPr>
      </w:pP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本年收入合计</w:t>
      </w:r>
      <w:r>
        <w:rPr>
          <w:rFonts w:hint="eastAsia" w:ascii="Times New Roman" w:hAnsi="Times New Roman" w:eastAsia="仿宋"/>
          <w:color w:val="auto"/>
          <w:sz w:val="32"/>
          <w:szCs w:val="32"/>
          <w:highlight w:val="none"/>
          <w:lang w:val="en-US" w:eastAsia="zh-CN"/>
        </w:rPr>
        <w:t>60078.81</w:t>
      </w:r>
      <w:r>
        <w:rPr>
          <w:rFonts w:hint="eastAsia" w:ascii="Times New Roman" w:hAnsi="Times New Roman" w:eastAsia="仿宋"/>
          <w:color w:val="auto"/>
          <w:sz w:val="32"/>
          <w:szCs w:val="32"/>
          <w:highlight w:val="none"/>
        </w:rPr>
        <w:t>万元，其中：一般公共预算财政拨款收入</w:t>
      </w:r>
      <w:r>
        <w:rPr>
          <w:rFonts w:hint="eastAsia" w:ascii="Times New Roman" w:hAnsi="Times New Roman" w:eastAsia="仿宋"/>
          <w:color w:val="auto"/>
          <w:sz w:val="32"/>
          <w:szCs w:val="32"/>
          <w:highlight w:val="none"/>
          <w:lang w:val="en-US" w:eastAsia="zh-CN"/>
        </w:rPr>
        <w:t>37420.67</w:t>
      </w:r>
      <w:r>
        <w:rPr>
          <w:rFonts w:hint="eastAsia" w:ascii="Times New Roman" w:hAnsi="Times New Roman" w:eastAsia="仿宋"/>
          <w:color w:val="auto"/>
          <w:sz w:val="32"/>
          <w:szCs w:val="32"/>
          <w:highlight w:val="none"/>
        </w:rPr>
        <w:t>万元，占</w:t>
      </w:r>
      <w:r>
        <w:rPr>
          <w:rFonts w:hint="eastAsia" w:ascii="Times New Roman" w:hAnsi="Times New Roman" w:eastAsia="仿宋"/>
          <w:color w:val="auto"/>
          <w:sz w:val="32"/>
          <w:szCs w:val="32"/>
          <w:highlight w:val="none"/>
          <w:lang w:val="en-US" w:eastAsia="zh-CN"/>
        </w:rPr>
        <w:t>62.3</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；事业收入</w:t>
      </w:r>
      <w:r>
        <w:rPr>
          <w:rFonts w:hint="eastAsia" w:ascii="Times New Roman" w:hAnsi="Times New Roman" w:eastAsia="仿宋"/>
          <w:color w:val="auto"/>
          <w:sz w:val="32"/>
          <w:szCs w:val="32"/>
          <w:highlight w:val="none"/>
          <w:lang w:val="en-US" w:eastAsia="zh-CN"/>
        </w:rPr>
        <w:t>20224.25</w:t>
      </w:r>
      <w:r>
        <w:rPr>
          <w:rFonts w:hint="eastAsia" w:ascii="Times New Roman" w:hAnsi="Times New Roman" w:eastAsia="仿宋"/>
          <w:color w:val="auto"/>
          <w:sz w:val="32"/>
          <w:szCs w:val="32"/>
          <w:highlight w:val="none"/>
        </w:rPr>
        <w:t>万元，占</w:t>
      </w:r>
      <w:r>
        <w:rPr>
          <w:rFonts w:hint="eastAsia" w:ascii="Times New Roman" w:hAnsi="Times New Roman" w:eastAsia="仿宋"/>
          <w:color w:val="auto"/>
          <w:sz w:val="32"/>
          <w:szCs w:val="32"/>
          <w:highlight w:val="none"/>
          <w:lang w:val="en-US" w:eastAsia="zh-CN"/>
        </w:rPr>
        <w:t>33.7</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；其他收入</w:t>
      </w:r>
      <w:r>
        <w:rPr>
          <w:rFonts w:hint="eastAsia" w:ascii="Times New Roman" w:hAnsi="Times New Roman" w:eastAsia="仿宋"/>
          <w:color w:val="auto"/>
          <w:sz w:val="32"/>
          <w:szCs w:val="32"/>
          <w:highlight w:val="none"/>
          <w:lang w:val="en-US" w:eastAsia="zh-CN"/>
        </w:rPr>
        <w:t>2433.88</w:t>
      </w:r>
      <w:r>
        <w:rPr>
          <w:rFonts w:hint="eastAsia" w:ascii="Times New Roman" w:hAnsi="Times New Roman" w:eastAsia="仿宋"/>
          <w:color w:val="auto"/>
          <w:sz w:val="32"/>
          <w:szCs w:val="32"/>
          <w:highlight w:val="none"/>
        </w:rPr>
        <w:t>万元，占</w:t>
      </w:r>
      <w:r>
        <w:rPr>
          <w:rFonts w:hint="eastAsia" w:ascii="Times New Roman" w:hAnsi="Times New Roman" w:eastAsia="仿宋"/>
          <w:color w:val="auto"/>
          <w:sz w:val="32"/>
          <w:szCs w:val="32"/>
          <w:highlight w:val="none"/>
          <w:lang w:val="en-US" w:eastAsia="zh-CN"/>
        </w:rPr>
        <w:t>4</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lang w:val="en-US" w:eastAsia="zh-CN"/>
        </w:rPr>
        <w:t>详见图2。</w:t>
      </w:r>
    </w:p>
    <w:p w14:paraId="525F2AD0">
      <w:pPr>
        <w:pStyle w:val="2"/>
        <w:pageBreakBefore w:val="0"/>
        <w:kinsoku/>
        <w:wordWrap/>
        <w:overflowPunct/>
        <w:topLinePunct w:val="0"/>
        <w:bidi w:val="0"/>
        <w:spacing w:after="0" w:line="560" w:lineRule="exact"/>
        <w:ind w:left="0" w:leftChars="0"/>
        <w:jc w:val="center"/>
        <w:rPr>
          <w:rFonts w:hint="eastAsia" w:ascii="Times New Roman" w:hAnsi="Times New Roman" w:eastAsia="仿宋" w:cstheme="minorBidi"/>
          <w:color w:val="auto"/>
          <w:kern w:val="2"/>
          <w:sz w:val="28"/>
          <w:szCs w:val="28"/>
          <w:highlight w:val="none"/>
          <w:lang w:val="en-US" w:eastAsia="zh-CN" w:bidi="ar-SA"/>
        </w:rPr>
      </w:pPr>
      <w:r>
        <w:rPr>
          <w:rFonts w:ascii="Times New Roman" w:hAnsi="Times New Roman"/>
        </w:rPr>
        <w:drawing>
          <wp:anchor distT="0" distB="0" distL="114300" distR="114300" simplePos="0" relativeHeight="251660288" behindDoc="0" locked="0" layoutInCell="1" allowOverlap="1">
            <wp:simplePos x="0" y="0"/>
            <wp:positionH relativeFrom="column">
              <wp:posOffset>966470</wp:posOffset>
            </wp:positionH>
            <wp:positionV relativeFrom="paragraph">
              <wp:posOffset>295275</wp:posOffset>
            </wp:positionV>
            <wp:extent cx="3704590" cy="2218690"/>
            <wp:effectExtent l="5080" t="4445" r="5080" b="5715"/>
            <wp:wrapTopAndBottom/>
            <wp:docPr id="1"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Times New Roman" w:hAnsi="Times New Roman" w:eastAsia="仿宋" w:cstheme="minorBidi"/>
          <w:color w:val="auto"/>
          <w:kern w:val="2"/>
          <w:sz w:val="28"/>
          <w:szCs w:val="28"/>
          <w:highlight w:val="none"/>
          <w:lang w:val="en-US" w:eastAsia="zh-CN" w:bidi="ar-SA"/>
        </w:rPr>
        <w:t>图2</w:t>
      </w:r>
    </w:p>
    <w:p w14:paraId="1058C8B7">
      <w:pPr>
        <w:pStyle w:val="21"/>
        <w:keepNext w:val="0"/>
        <w:keepLines w:val="0"/>
        <w:pageBreakBefore w:val="0"/>
        <w:numPr>
          <w:ilvl w:val="0"/>
          <w:numId w:val="0"/>
        </w:numPr>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eastAsia="黑体"/>
          <w:b w:val="0"/>
          <w:color w:val="auto"/>
          <w:highlight w:val="none"/>
        </w:rPr>
      </w:pPr>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20"/>
          <w:rFonts w:hint="eastAsia" w:ascii="Times New Roman" w:hAnsi="Times New Roman" w:eastAsia="黑体"/>
          <w:b w:val="0"/>
          <w:color w:val="auto"/>
          <w:highlight w:val="none"/>
        </w:rPr>
        <w:t>出决算情况说明</w:t>
      </w:r>
    </w:p>
    <w:p w14:paraId="021F9A0E">
      <w:pPr>
        <w:keepNext w:val="0"/>
        <w:keepLines w:val="0"/>
        <w:pageBreakBefore w:val="0"/>
        <w:kinsoku/>
        <w:wordWrap/>
        <w:overflowPunct/>
        <w:topLinePunct w:val="0"/>
        <w:bidi w:val="0"/>
        <w:snapToGrid/>
        <w:spacing w:line="560" w:lineRule="exact"/>
        <w:ind w:left="0" w:leftChars="0" w:right="0" w:firstLine="640" w:firstLineChars="200"/>
        <w:jc w:val="left"/>
        <w:outlineLvl w:val="1"/>
        <w:rPr>
          <w:rFonts w:hint="eastAsia" w:ascii="Times New Roman" w:hAnsi="Times New Roman" w:eastAsia="仿宋"/>
          <w:color w:val="auto"/>
          <w:sz w:val="32"/>
          <w:szCs w:val="32"/>
          <w:highlight w:val="none"/>
          <w:lang w:val="en-US" w:eastAsia="zh-CN"/>
        </w:rPr>
      </w:pP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本年支出合计</w:t>
      </w:r>
      <w:r>
        <w:rPr>
          <w:rFonts w:hint="eastAsia" w:ascii="Times New Roman" w:hAnsi="Times New Roman" w:eastAsia="仿宋_GB2312"/>
          <w:sz w:val="32"/>
          <w:szCs w:val="32"/>
        </w:rPr>
        <w:t>64217.15</w:t>
      </w:r>
      <w:r>
        <w:rPr>
          <w:rFonts w:hint="eastAsia" w:ascii="Times New Roman" w:hAnsi="Times New Roman" w:eastAsia="仿宋"/>
          <w:color w:val="auto"/>
          <w:sz w:val="32"/>
          <w:szCs w:val="32"/>
          <w:highlight w:val="none"/>
        </w:rPr>
        <w:t>万元，其中：</w:t>
      </w:r>
      <w:r>
        <w:rPr>
          <w:rFonts w:hint="eastAsia" w:ascii="Times New Roman" w:hAnsi="Times New Roman" w:eastAsia="仿宋"/>
          <w:color w:val="auto"/>
          <w:sz w:val="32"/>
          <w:szCs w:val="32"/>
          <w:highlight w:val="none"/>
          <w:lang w:val="en-US" w:eastAsia="zh-CN"/>
        </w:rPr>
        <w:t>基本支出</w:t>
      </w:r>
      <w:r>
        <w:rPr>
          <w:rFonts w:hint="eastAsia" w:ascii="Times New Roman" w:hAnsi="Times New Roman" w:eastAsia="仿宋_GB2312"/>
          <w:sz w:val="32"/>
          <w:szCs w:val="32"/>
          <w:lang w:val="en-US" w:eastAsia="zh-CN"/>
        </w:rPr>
        <w:t>47151.33</w:t>
      </w:r>
      <w:r>
        <w:rPr>
          <w:rFonts w:hint="eastAsia" w:ascii="Times New Roman" w:hAnsi="Times New Roman" w:eastAsia="仿宋_GB2312"/>
          <w:sz w:val="32"/>
          <w:szCs w:val="32"/>
        </w:rPr>
        <w:t>万元，占</w:t>
      </w:r>
      <w:r>
        <w:rPr>
          <w:rFonts w:hint="eastAsia" w:ascii="Times New Roman" w:hAnsi="Times New Roman" w:eastAsia="仿宋_GB2312"/>
          <w:sz w:val="32"/>
          <w:szCs w:val="32"/>
          <w:lang w:val="en-US" w:eastAsia="zh-CN"/>
        </w:rPr>
        <w:t>73.4</w:t>
      </w:r>
      <w:r>
        <w:rPr>
          <w:rFonts w:hint="eastAsia" w:ascii="Times New Roman" w:hAnsi="Times New Roman" w:eastAsia="仿宋_GB2312"/>
          <w:sz w:val="32"/>
          <w:szCs w:val="32"/>
        </w:rPr>
        <w:t>%；项目支出17065.82万元，占</w:t>
      </w:r>
      <w:r>
        <w:rPr>
          <w:rFonts w:hint="eastAsia" w:ascii="Times New Roman" w:hAnsi="Times New Roman" w:eastAsia="仿宋_GB2312"/>
          <w:sz w:val="32"/>
          <w:szCs w:val="32"/>
          <w:lang w:val="en-US" w:eastAsia="zh-CN"/>
        </w:rPr>
        <w:t>26.6</w:t>
      </w:r>
      <w:r>
        <w:rPr>
          <w:rFonts w:hint="eastAsia" w:ascii="Times New Roman" w:hAnsi="Times New Roman" w:eastAsia="仿宋_GB2312"/>
          <w:sz w:val="32"/>
          <w:szCs w:val="32"/>
        </w:rPr>
        <w:t>%。</w:t>
      </w:r>
      <w:r>
        <w:rPr>
          <w:rFonts w:hint="eastAsia" w:ascii="Times New Roman" w:hAnsi="Times New Roman" w:eastAsia="仿宋"/>
          <w:color w:val="auto"/>
          <w:sz w:val="32"/>
          <w:szCs w:val="32"/>
          <w:highlight w:val="none"/>
          <w:lang w:val="en-US" w:eastAsia="zh-CN"/>
        </w:rPr>
        <w:t>详见图3。</w:t>
      </w:r>
    </w:p>
    <w:p w14:paraId="090B1F13">
      <w:pPr>
        <w:pStyle w:val="2"/>
        <w:pageBreakBefore w:val="0"/>
        <w:kinsoku/>
        <w:wordWrap/>
        <w:overflowPunct/>
        <w:topLinePunct w:val="0"/>
        <w:bidi w:val="0"/>
        <w:spacing w:after="0" w:line="560" w:lineRule="exact"/>
        <w:ind w:left="0" w:leftChars="0"/>
        <w:jc w:val="center"/>
        <w:rPr>
          <w:rFonts w:ascii="Times New Roman" w:hAnsi="Times New Roman" w:eastAsia="仿宋_GB2312"/>
          <w:color w:val="auto"/>
          <w:sz w:val="32"/>
          <w:szCs w:val="32"/>
          <w:highlight w:val="none"/>
        </w:rPr>
      </w:pPr>
      <w:r>
        <w:rPr>
          <w:rFonts w:ascii="Times New Roman" w:hAnsi="Times New Roman"/>
        </w:rPr>
        <w:drawing>
          <wp:anchor distT="0" distB="0" distL="114300" distR="114300" simplePos="0" relativeHeight="251662336" behindDoc="0" locked="0" layoutInCell="1" allowOverlap="1">
            <wp:simplePos x="0" y="0"/>
            <wp:positionH relativeFrom="column">
              <wp:posOffset>880745</wp:posOffset>
            </wp:positionH>
            <wp:positionV relativeFrom="paragraph">
              <wp:posOffset>44450</wp:posOffset>
            </wp:positionV>
            <wp:extent cx="3878580" cy="2180590"/>
            <wp:effectExtent l="4445" t="4445" r="22225" b="5715"/>
            <wp:wrapTopAndBottom/>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Times New Roman" w:hAnsi="Times New Roman" w:eastAsia="仿宋" w:cstheme="minorBidi"/>
          <w:color w:val="auto"/>
          <w:kern w:val="2"/>
          <w:sz w:val="28"/>
          <w:szCs w:val="28"/>
          <w:highlight w:val="none"/>
          <w:lang w:val="en-US" w:eastAsia="zh-CN" w:bidi="ar-SA"/>
        </w:rPr>
        <w:t>图3</w:t>
      </w:r>
    </w:p>
    <w:p w14:paraId="058C3DB4">
      <w:pPr>
        <w:keepNext w:val="0"/>
        <w:keepLines w:val="0"/>
        <w:pageBreakBefore w:val="0"/>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eastAsia="黑体"/>
          <w:b w:val="0"/>
          <w:color w:val="auto"/>
          <w:highlight w:val="none"/>
        </w:rPr>
      </w:pPr>
      <w:r>
        <w:rPr>
          <w:rFonts w:hint="eastAsia" w:ascii="Times New Roman" w:hAnsi="Times New Roman" w:eastAsia="黑体"/>
          <w:color w:val="auto"/>
          <w:sz w:val="32"/>
          <w:szCs w:val="32"/>
          <w:highlight w:val="none"/>
        </w:rPr>
        <w:t>四、财</w:t>
      </w:r>
      <w:r>
        <w:rPr>
          <w:rStyle w:val="20"/>
          <w:rFonts w:hint="eastAsia" w:ascii="Times New Roman" w:hAnsi="Times New Roman" w:eastAsia="黑体"/>
          <w:b w:val="0"/>
          <w:color w:val="auto"/>
          <w:highlight w:val="none"/>
        </w:rPr>
        <w:t>政拨款收入支出决算总体情况说明</w:t>
      </w:r>
    </w:p>
    <w:p w14:paraId="2BABCCF0">
      <w:pPr>
        <w:keepNext w:val="0"/>
        <w:keepLines w:val="0"/>
        <w:pageBreakBefore w:val="0"/>
        <w:kinsoku/>
        <w:wordWrap/>
        <w:overflowPunct/>
        <w:topLinePunct w:val="0"/>
        <w:bidi w:val="0"/>
        <w:snapToGrid/>
        <w:spacing w:line="560" w:lineRule="exact"/>
        <w:ind w:left="0" w:leftChars="0" w:right="0" w:firstLine="640" w:firstLineChars="200"/>
        <w:jc w:val="left"/>
      </w:pP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财政拨款收、支总计</w:t>
      </w:r>
      <w:r>
        <w:rPr>
          <w:rFonts w:hint="eastAsia" w:ascii="Times New Roman" w:hAnsi="Times New Roman" w:eastAsia="仿宋"/>
          <w:color w:val="auto"/>
          <w:sz w:val="32"/>
          <w:szCs w:val="32"/>
          <w:highlight w:val="none"/>
          <w:lang w:eastAsia="zh-CN"/>
        </w:rPr>
        <w:t>均为</w:t>
      </w:r>
      <w:r>
        <w:rPr>
          <w:rFonts w:hint="eastAsia" w:ascii="Times New Roman" w:hAnsi="Times New Roman" w:eastAsia="仿宋_GB2312"/>
          <w:sz w:val="32"/>
          <w:szCs w:val="32"/>
          <w:lang w:val="en-US" w:eastAsia="zh-CN"/>
        </w:rPr>
        <w:t>37420.67</w:t>
      </w:r>
      <w:r>
        <w:rPr>
          <w:rFonts w:hint="eastAsia" w:ascii="Times New Roman" w:hAnsi="Times New Roman" w:eastAsia="仿宋"/>
          <w:color w:val="auto"/>
          <w:sz w:val="32"/>
          <w:szCs w:val="32"/>
          <w:highlight w:val="none"/>
        </w:rPr>
        <w:t>万元。与</w:t>
      </w:r>
      <w:r>
        <w:rPr>
          <w:rFonts w:hint="eastAsia" w:ascii="Times New Roman" w:hAnsi="Times New Roman" w:eastAsia="仿宋"/>
          <w:color w:val="auto"/>
          <w:sz w:val="32"/>
          <w:szCs w:val="32"/>
          <w:highlight w:val="none"/>
          <w:lang w:eastAsia="zh-CN"/>
        </w:rPr>
        <w:t>2022</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相比，财政拨款收、支总计各减少</w:t>
      </w:r>
      <w:r>
        <w:rPr>
          <w:rFonts w:hint="eastAsia" w:ascii="Times New Roman" w:hAnsi="Times New Roman" w:eastAsia="仿宋_GB2312"/>
          <w:color w:val="auto"/>
          <w:sz w:val="32"/>
          <w:szCs w:val="32"/>
          <w:lang w:val="en-US" w:eastAsia="zh-CN"/>
        </w:rPr>
        <w:t>5519.25</w:t>
      </w:r>
      <w:r>
        <w:rPr>
          <w:rFonts w:hint="eastAsia" w:ascii="Times New Roman" w:hAnsi="Times New Roman" w:eastAsia="仿宋"/>
          <w:color w:val="auto"/>
          <w:sz w:val="32"/>
          <w:szCs w:val="32"/>
          <w:highlight w:val="none"/>
        </w:rPr>
        <w:t>万元，下降</w:t>
      </w:r>
      <w:r>
        <w:rPr>
          <w:rFonts w:hint="eastAsia" w:ascii="Times New Roman" w:hAnsi="Times New Roman" w:eastAsia="仿宋_GB2312"/>
          <w:color w:val="auto"/>
          <w:sz w:val="32"/>
          <w:szCs w:val="32"/>
          <w:lang w:val="en-US" w:eastAsia="zh-CN"/>
        </w:rPr>
        <w:t>12.9</w:t>
      </w:r>
      <w:r>
        <w:rPr>
          <w:rFonts w:hint="eastAsia" w:ascii="Times New Roman" w:hAnsi="Times New Roman" w:eastAsia="仿宋_GB2312"/>
          <w:color w:val="auto"/>
          <w:sz w:val="32"/>
          <w:szCs w:val="32"/>
        </w:rPr>
        <w:t>%</w:t>
      </w:r>
      <w:r>
        <w:rPr>
          <w:rFonts w:hint="eastAsia" w:ascii="Times New Roman" w:hAnsi="Times New Roman" w:eastAsia="仿宋"/>
          <w:color w:val="auto"/>
          <w:sz w:val="32"/>
          <w:szCs w:val="32"/>
          <w:highlight w:val="none"/>
        </w:rPr>
        <w:t>。</w:t>
      </w:r>
      <w:r>
        <w:rPr>
          <w:rFonts w:hint="eastAsia" w:ascii="Times New Roman" w:hAnsi="Times New Roman" w:eastAsia="仿宋"/>
          <w:color w:val="auto"/>
          <w:w w:val="98"/>
          <w:sz w:val="32"/>
          <w:szCs w:val="32"/>
          <w:highlight w:val="none"/>
        </w:rPr>
        <w:t>主要变动原因是</w:t>
      </w:r>
      <w:r>
        <w:rPr>
          <w:rFonts w:hint="eastAsia" w:ascii="Times New Roman" w:hAnsi="Times New Roman" w:eastAsia="仿宋_GB2312"/>
          <w:color w:val="auto"/>
          <w:w w:val="98"/>
          <w:sz w:val="32"/>
          <w:szCs w:val="32"/>
          <w:lang w:eastAsia="zh-CN"/>
        </w:rPr>
        <w:t>学校部门集中收入减少</w:t>
      </w:r>
      <w:r>
        <w:rPr>
          <w:rFonts w:hint="eastAsia" w:ascii="Times New Roman" w:hAnsi="Times New Roman" w:eastAsia="仿宋_GB2312"/>
          <w:color w:val="auto"/>
          <w:w w:val="98"/>
          <w:sz w:val="32"/>
          <w:szCs w:val="32"/>
          <w:lang w:eastAsia="zh-CN"/>
        </w:rPr>
        <w:t>，相应支出减少</w:t>
      </w:r>
      <w:r>
        <w:rPr>
          <w:rFonts w:hint="eastAsia" w:ascii="Times New Roman" w:hAnsi="Times New Roman" w:eastAsia="仿宋_GB2312"/>
          <w:color w:val="auto"/>
          <w:w w:val="98"/>
          <w:sz w:val="32"/>
          <w:szCs w:val="32"/>
          <w:lang w:eastAsia="zh-CN"/>
        </w:rPr>
        <w:t>。</w:t>
      </w:r>
      <w:r>
        <w:rPr>
          <w:rFonts w:hint="eastAsia" w:ascii="Times New Roman" w:hAnsi="Times New Roman" w:eastAsia="仿宋"/>
          <w:color w:val="auto"/>
          <w:w w:val="98"/>
          <w:sz w:val="32"/>
          <w:szCs w:val="32"/>
          <w:highlight w:val="none"/>
          <w:lang w:val="en-US" w:eastAsia="zh-CN"/>
        </w:rPr>
        <w:t>详见图4。</w:t>
      </w:r>
    </w:p>
    <w:p w14:paraId="522C5C92">
      <w:pPr>
        <w:keepNext w:val="0"/>
        <w:keepLines w:val="0"/>
        <w:pageBreakBefore w:val="0"/>
        <w:kinsoku/>
        <w:wordWrap/>
        <w:overflowPunct/>
        <w:topLinePunct w:val="0"/>
        <w:bidi w:val="0"/>
        <w:snapToGrid/>
        <w:spacing w:line="560" w:lineRule="exact"/>
        <w:ind w:left="0" w:leftChars="0" w:right="0"/>
        <w:jc w:val="center"/>
        <w:rPr>
          <w:rFonts w:ascii="Times New Roman" w:hAnsi="Times New Roman" w:eastAsia="仿宋"/>
          <w:b/>
          <w:color w:val="auto"/>
          <w:sz w:val="32"/>
          <w:szCs w:val="32"/>
          <w:highlight w:val="none"/>
        </w:rPr>
      </w:pPr>
      <w:r>
        <w:rPr>
          <w:rFonts w:hint="eastAsia" w:ascii="Times New Roman" w:hAnsi="Times New Roman" w:eastAsia="仿宋" w:cstheme="minorBidi"/>
          <w:color w:val="auto"/>
          <w:kern w:val="2"/>
          <w:sz w:val="28"/>
          <w:szCs w:val="28"/>
          <w:highlight w:val="none"/>
          <w:lang w:val="en-US" w:eastAsia="zh-CN" w:bidi="ar-SA"/>
        </w:rPr>
        <w:drawing>
          <wp:anchor distT="0" distB="0" distL="114300" distR="114300" simplePos="0" relativeHeight="251663360" behindDoc="0" locked="0" layoutInCell="1" allowOverlap="1">
            <wp:simplePos x="0" y="0"/>
            <wp:positionH relativeFrom="column">
              <wp:posOffset>745490</wp:posOffset>
            </wp:positionH>
            <wp:positionV relativeFrom="paragraph">
              <wp:posOffset>88900</wp:posOffset>
            </wp:positionV>
            <wp:extent cx="4217670" cy="2219960"/>
            <wp:effectExtent l="4445" t="4445" r="6985" b="23495"/>
            <wp:wrapTopAndBottom/>
            <wp:docPr id="11"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hint="eastAsia" w:ascii="Times New Roman" w:hAnsi="Times New Roman" w:eastAsia="仿宋" w:cstheme="minorBidi"/>
          <w:color w:val="auto"/>
          <w:kern w:val="2"/>
          <w:sz w:val="28"/>
          <w:szCs w:val="28"/>
          <w:highlight w:val="none"/>
          <w:lang w:val="en-US" w:eastAsia="zh-CN" w:bidi="ar-SA"/>
        </w:rPr>
        <w:t>图4</w:t>
      </w:r>
      <w:bookmarkStart w:id="0" w:name="_GoBack"/>
      <w:bookmarkEnd w:id="0"/>
    </w:p>
    <w:p w14:paraId="1BA1DD1C">
      <w:pPr>
        <w:keepNext w:val="0"/>
        <w:keepLines w:val="0"/>
        <w:pageBreakBefore w:val="0"/>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eastAsia="黑体"/>
          <w:b w:val="0"/>
          <w:color w:val="auto"/>
          <w:highlight w:val="none"/>
        </w:rPr>
      </w:pPr>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20"/>
          <w:rFonts w:hint="eastAsia" w:ascii="Times New Roman" w:hAnsi="Times New Roman" w:eastAsia="黑体"/>
          <w:b w:val="0"/>
          <w:color w:val="auto"/>
          <w:highlight w:val="none"/>
        </w:rPr>
        <w:t>般公共预算财政拨款支出决算情况说明</w:t>
      </w:r>
    </w:p>
    <w:p w14:paraId="5EB02C46">
      <w:pPr>
        <w:keepNext w:val="0"/>
        <w:keepLines w:val="0"/>
        <w:pageBreakBefore w:val="0"/>
        <w:kinsoku/>
        <w:wordWrap/>
        <w:overflowPunct/>
        <w:topLinePunct w:val="0"/>
        <w:bidi w:val="0"/>
        <w:snapToGrid/>
        <w:spacing w:line="560" w:lineRule="exact"/>
        <w:ind w:left="0" w:leftChars="0" w:right="0" w:firstLine="643" w:firstLineChars="200"/>
        <w:jc w:val="left"/>
        <w:outlineLvl w:val="2"/>
        <w:rPr>
          <w:rFonts w:ascii="Times New Roman" w:hAnsi="Times New Roman" w:eastAsia="仿宋"/>
          <w:b/>
          <w:color w:val="auto"/>
          <w:sz w:val="32"/>
          <w:szCs w:val="32"/>
          <w:highlight w:val="none"/>
        </w:rPr>
      </w:pPr>
      <w:r>
        <w:rPr>
          <w:rFonts w:hint="eastAsia" w:ascii="Times New Roman" w:hAnsi="Times New Roman" w:eastAsia="仿宋"/>
          <w:b/>
          <w:color w:val="auto"/>
          <w:sz w:val="32"/>
          <w:szCs w:val="32"/>
          <w:highlight w:val="none"/>
        </w:rPr>
        <w:t>（一）一般公共预算财政拨款支出决算总体情况</w:t>
      </w:r>
    </w:p>
    <w:p w14:paraId="2BB3510F">
      <w:pPr>
        <w:keepNext w:val="0"/>
        <w:keepLines w:val="0"/>
        <w:pageBreakBefore w:val="0"/>
        <w:kinsoku/>
        <w:wordWrap/>
        <w:overflowPunct/>
        <w:topLinePunct w:val="0"/>
        <w:bidi w:val="0"/>
        <w:snapToGrid/>
        <w:spacing w:line="560" w:lineRule="exact"/>
        <w:ind w:left="0" w:leftChars="0" w:right="0" w:firstLine="420" w:firstLineChars="200"/>
        <w:jc w:val="left"/>
        <w:rPr>
          <w:rFonts w:hint="eastAsia" w:ascii="Times New Roman" w:hAnsi="Times New Roman" w:eastAsia="仿宋"/>
          <w:color w:val="auto"/>
          <w:sz w:val="32"/>
          <w:szCs w:val="32"/>
          <w:highlight w:val="none"/>
          <w:lang w:val="en-US" w:eastAsia="zh-CN"/>
        </w:rPr>
      </w:pPr>
      <w:r>
        <w:rPr>
          <w:rFonts w:ascii="Times New Roman" w:hAnsi="Times New Roman"/>
        </w:rPr>
        <w:drawing>
          <wp:anchor distT="0" distB="0" distL="114300" distR="114300" simplePos="0" relativeHeight="251664384" behindDoc="0" locked="0" layoutInCell="1" allowOverlap="1">
            <wp:simplePos x="0" y="0"/>
            <wp:positionH relativeFrom="column">
              <wp:posOffset>774700</wp:posOffset>
            </wp:positionH>
            <wp:positionV relativeFrom="paragraph">
              <wp:posOffset>1173480</wp:posOffset>
            </wp:positionV>
            <wp:extent cx="4159250" cy="2094865"/>
            <wp:effectExtent l="4445" t="4445" r="8255" b="15240"/>
            <wp:wrapTopAndBottom/>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度一般公共预算财政拨款支出</w:t>
      </w:r>
      <w:r>
        <w:rPr>
          <w:rFonts w:hint="eastAsia" w:ascii="Times New Roman" w:hAnsi="Times New Roman" w:eastAsia="仿宋"/>
          <w:color w:val="auto"/>
          <w:sz w:val="32"/>
          <w:szCs w:val="32"/>
          <w:highlight w:val="none"/>
        </w:rPr>
        <w:t>总计</w:t>
      </w:r>
      <w:r>
        <w:rPr>
          <w:rFonts w:hint="eastAsia" w:ascii="Times New Roman" w:hAnsi="Times New Roman" w:eastAsia="仿宋_GB2312"/>
          <w:sz w:val="32"/>
          <w:szCs w:val="32"/>
          <w:lang w:val="en-US" w:eastAsia="zh-CN"/>
        </w:rPr>
        <w:t>37420.67</w:t>
      </w:r>
      <w:r>
        <w:rPr>
          <w:rFonts w:hint="eastAsia" w:ascii="Times New Roman" w:hAnsi="Times New Roman" w:eastAsia="仿宋"/>
          <w:color w:val="auto"/>
          <w:sz w:val="32"/>
          <w:szCs w:val="32"/>
          <w:highlight w:val="none"/>
        </w:rPr>
        <w:t>万元。与</w:t>
      </w:r>
      <w:r>
        <w:rPr>
          <w:rFonts w:hint="eastAsia" w:ascii="Times New Roman" w:hAnsi="Times New Roman" w:eastAsia="仿宋"/>
          <w:color w:val="auto"/>
          <w:sz w:val="32"/>
          <w:szCs w:val="32"/>
          <w:highlight w:val="none"/>
          <w:lang w:eastAsia="zh-CN"/>
        </w:rPr>
        <w:t>2022</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相比，减少</w:t>
      </w:r>
      <w:r>
        <w:rPr>
          <w:rFonts w:hint="eastAsia" w:ascii="Times New Roman" w:hAnsi="Times New Roman" w:eastAsia="仿宋_GB2312"/>
          <w:color w:val="auto"/>
          <w:sz w:val="32"/>
          <w:szCs w:val="32"/>
          <w:lang w:val="en-US" w:eastAsia="zh-CN"/>
        </w:rPr>
        <w:t>5519.25</w:t>
      </w:r>
      <w:r>
        <w:rPr>
          <w:rFonts w:hint="eastAsia" w:ascii="Times New Roman" w:hAnsi="Times New Roman" w:eastAsia="仿宋"/>
          <w:color w:val="auto"/>
          <w:sz w:val="32"/>
          <w:szCs w:val="32"/>
          <w:highlight w:val="none"/>
        </w:rPr>
        <w:t>万元，下降</w:t>
      </w:r>
      <w:r>
        <w:rPr>
          <w:rFonts w:hint="eastAsia" w:ascii="Times New Roman" w:hAnsi="Times New Roman" w:eastAsia="仿宋_GB2312"/>
          <w:color w:val="auto"/>
          <w:sz w:val="32"/>
          <w:szCs w:val="32"/>
          <w:lang w:val="en-US" w:eastAsia="zh-CN"/>
        </w:rPr>
        <w:t>12.9</w:t>
      </w:r>
      <w:r>
        <w:rPr>
          <w:rFonts w:hint="eastAsia" w:ascii="Times New Roman" w:hAnsi="Times New Roman" w:eastAsia="仿宋_GB2312"/>
          <w:color w:val="auto"/>
          <w:sz w:val="32"/>
          <w:szCs w:val="32"/>
        </w:rPr>
        <w:t>%</w:t>
      </w:r>
      <w:r>
        <w:rPr>
          <w:rFonts w:hint="eastAsia" w:ascii="Times New Roman" w:hAnsi="Times New Roman" w:eastAsia="仿宋"/>
          <w:color w:val="auto"/>
          <w:sz w:val="32"/>
          <w:szCs w:val="32"/>
          <w:highlight w:val="none"/>
        </w:rPr>
        <w:t>。主要变动原因是</w:t>
      </w:r>
      <w:r>
        <w:rPr>
          <w:rFonts w:hint="eastAsia" w:ascii="Times New Roman" w:hAnsi="Times New Roman" w:eastAsia="仿宋_GB2312"/>
          <w:color w:val="auto"/>
          <w:sz w:val="32"/>
          <w:szCs w:val="32"/>
          <w:lang w:eastAsia="zh-CN"/>
        </w:rPr>
        <w:t>学校</w:t>
      </w:r>
      <w:r>
        <w:rPr>
          <w:rFonts w:hint="eastAsia" w:ascii="Times New Roman" w:hAnsi="Times New Roman" w:eastAsia="仿宋"/>
          <w:color w:val="auto"/>
          <w:sz w:val="32"/>
          <w:szCs w:val="32"/>
          <w:highlight w:val="none"/>
          <w:lang w:eastAsia="zh-CN"/>
        </w:rPr>
        <w:t>一般公共预算财政拨款</w:t>
      </w:r>
      <w:r>
        <w:rPr>
          <w:rFonts w:hint="eastAsia" w:ascii="Times New Roman" w:hAnsi="Times New Roman" w:eastAsia="仿宋_GB2312"/>
          <w:color w:val="auto"/>
          <w:sz w:val="32"/>
          <w:szCs w:val="32"/>
          <w:lang w:eastAsia="zh-CN"/>
        </w:rPr>
        <w:t>减少，相应支出减少。</w:t>
      </w:r>
      <w:r>
        <w:rPr>
          <w:rFonts w:hint="eastAsia" w:ascii="Times New Roman" w:hAnsi="Times New Roman" w:eastAsia="仿宋"/>
          <w:color w:val="auto"/>
          <w:sz w:val="32"/>
          <w:szCs w:val="32"/>
          <w:highlight w:val="none"/>
          <w:lang w:val="en-US" w:eastAsia="zh-CN"/>
        </w:rPr>
        <w:t>详见图5。</w:t>
      </w:r>
    </w:p>
    <w:p w14:paraId="7ABF9251">
      <w:pPr>
        <w:keepNext w:val="0"/>
        <w:keepLines w:val="0"/>
        <w:pageBreakBefore w:val="0"/>
        <w:kinsoku/>
        <w:wordWrap/>
        <w:overflowPunct/>
        <w:topLinePunct w:val="0"/>
        <w:bidi w:val="0"/>
        <w:snapToGrid/>
        <w:spacing w:line="560" w:lineRule="exact"/>
        <w:ind w:left="0" w:leftChars="0" w:right="0"/>
        <w:jc w:val="center"/>
        <w:rPr>
          <w:rFonts w:hint="eastAsia" w:ascii="Times New Roman" w:hAnsi="Times New Roman" w:eastAsia="仿宋" w:cstheme="minorBidi"/>
          <w:color w:val="auto"/>
          <w:kern w:val="2"/>
          <w:sz w:val="28"/>
          <w:szCs w:val="28"/>
          <w:highlight w:val="none"/>
          <w:lang w:val="en-US" w:eastAsia="zh-CN" w:bidi="ar-SA"/>
        </w:rPr>
      </w:pPr>
      <w:r>
        <w:rPr>
          <w:rFonts w:hint="eastAsia" w:ascii="Times New Roman" w:hAnsi="Times New Roman" w:eastAsia="仿宋" w:cstheme="minorBidi"/>
          <w:color w:val="auto"/>
          <w:kern w:val="2"/>
          <w:sz w:val="28"/>
          <w:szCs w:val="28"/>
          <w:highlight w:val="none"/>
          <w:lang w:val="en-US" w:eastAsia="zh-CN" w:bidi="ar-SA"/>
        </w:rPr>
        <w:t>图5</w:t>
      </w:r>
    </w:p>
    <w:p w14:paraId="2F0FC058">
      <w:pPr>
        <w:keepNext w:val="0"/>
        <w:keepLines w:val="0"/>
        <w:pageBreakBefore w:val="0"/>
        <w:kinsoku/>
        <w:wordWrap/>
        <w:overflowPunct/>
        <w:topLinePunct w:val="0"/>
        <w:bidi w:val="0"/>
        <w:snapToGrid/>
        <w:spacing w:line="560" w:lineRule="exact"/>
        <w:ind w:left="0" w:leftChars="0" w:right="0" w:firstLine="643" w:firstLineChars="200"/>
        <w:jc w:val="left"/>
        <w:outlineLvl w:val="2"/>
        <w:rPr>
          <w:rFonts w:ascii="Times New Roman" w:hAnsi="Times New Roman" w:eastAsia="仿宋"/>
          <w:b/>
          <w:color w:val="auto"/>
          <w:sz w:val="32"/>
          <w:szCs w:val="32"/>
          <w:highlight w:val="none"/>
        </w:rPr>
      </w:pPr>
      <w:r>
        <w:rPr>
          <w:rFonts w:hint="eastAsia" w:ascii="Times New Roman" w:hAnsi="Times New Roman" w:eastAsia="仿宋"/>
          <w:b/>
          <w:color w:val="auto"/>
          <w:sz w:val="32"/>
          <w:szCs w:val="32"/>
          <w:highlight w:val="none"/>
        </w:rPr>
        <w:t>（二）一般公共预算财政拨款支出决算结构情况</w:t>
      </w:r>
    </w:p>
    <w:p w14:paraId="551382A8">
      <w:pPr>
        <w:keepNext w:val="0"/>
        <w:keepLines w:val="0"/>
        <w:pageBreakBefore w:val="0"/>
        <w:kinsoku/>
        <w:wordWrap/>
        <w:overflowPunct/>
        <w:topLinePunct w:val="0"/>
        <w:bidi w:val="0"/>
        <w:snapToGrid/>
        <w:spacing w:line="560" w:lineRule="exact"/>
        <w:ind w:left="0" w:leftChars="0" w:right="0" w:firstLine="640" w:firstLineChars="200"/>
        <w:jc w:val="left"/>
        <w:rPr>
          <w:rFonts w:hint="eastAsia" w:ascii="Times New Roman" w:hAnsi="Times New Roman" w:eastAsia="仿宋"/>
          <w:color w:val="auto"/>
          <w:sz w:val="32"/>
          <w:szCs w:val="32"/>
          <w:highlight w:val="none"/>
          <w:lang w:val="en-US" w:eastAsia="zh-CN"/>
        </w:rPr>
      </w:pP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一般公共预算财政拨款支出</w:t>
      </w:r>
      <w:r>
        <w:rPr>
          <w:rFonts w:hint="eastAsia" w:ascii="Times New Roman" w:hAnsi="Times New Roman" w:eastAsia="仿宋_GB2312"/>
          <w:sz w:val="32"/>
          <w:szCs w:val="32"/>
          <w:lang w:val="en-US" w:eastAsia="zh-CN"/>
        </w:rPr>
        <w:t>37420.67</w:t>
      </w:r>
      <w:r>
        <w:rPr>
          <w:rFonts w:hint="eastAsia" w:ascii="Times New Roman" w:hAnsi="Times New Roman" w:eastAsia="仿宋"/>
          <w:color w:val="auto"/>
          <w:sz w:val="32"/>
          <w:szCs w:val="32"/>
          <w:highlight w:val="none"/>
        </w:rPr>
        <w:t>万元，主要用于以下方面</w:t>
      </w:r>
      <w:r>
        <w:rPr>
          <w:rFonts w:hint="eastAsia" w:ascii="Times New Roman" w:hAnsi="Times New Roman" w:eastAsia="仿宋"/>
          <w:color w:val="auto"/>
          <w:sz w:val="32"/>
          <w:szCs w:val="32"/>
          <w:highlight w:val="none"/>
          <w:lang w:eastAsia="zh-CN"/>
        </w:rPr>
        <w:t>：</w:t>
      </w:r>
      <w:r>
        <w:rPr>
          <w:rFonts w:hint="eastAsia" w:ascii="Times New Roman" w:hAnsi="Times New Roman" w:eastAsia="仿宋"/>
          <w:b/>
          <w:color w:val="auto"/>
          <w:sz w:val="32"/>
          <w:szCs w:val="32"/>
          <w:highlight w:val="none"/>
        </w:rPr>
        <w:t>教育支出36797.65</w:t>
      </w:r>
      <w:r>
        <w:rPr>
          <w:rFonts w:hint="eastAsia" w:ascii="Times New Roman" w:hAnsi="Times New Roman" w:eastAsia="仿宋"/>
          <w:color w:val="auto"/>
          <w:sz w:val="32"/>
          <w:szCs w:val="32"/>
          <w:highlight w:val="none"/>
        </w:rPr>
        <w:t>万元，占</w:t>
      </w:r>
      <w:r>
        <w:rPr>
          <w:rFonts w:hint="eastAsia" w:ascii="Times New Roman" w:hAnsi="Times New Roman" w:eastAsia="仿宋"/>
          <w:color w:val="auto"/>
          <w:sz w:val="32"/>
          <w:szCs w:val="32"/>
          <w:highlight w:val="none"/>
          <w:lang w:val="en-US" w:eastAsia="zh-CN"/>
        </w:rPr>
        <w:t>98.3</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w:t>
      </w:r>
      <w:r>
        <w:rPr>
          <w:rFonts w:hint="eastAsia" w:ascii="Times New Roman" w:hAnsi="Times New Roman" w:eastAsia="仿宋"/>
          <w:b/>
          <w:color w:val="auto"/>
          <w:sz w:val="32"/>
          <w:szCs w:val="32"/>
          <w:highlight w:val="none"/>
        </w:rPr>
        <w:t>科学技术</w:t>
      </w:r>
      <w:r>
        <w:rPr>
          <w:rFonts w:hint="eastAsia" w:ascii="Times New Roman" w:hAnsi="Times New Roman" w:eastAsia="仿宋"/>
          <w:b/>
          <w:bCs/>
          <w:color w:val="auto"/>
          <w:sz w:val="32"/>
          <w:szCs w:val="32"/>
          <w:highlight w:val="none"/>
        </w:rPr>
        <w:t>支出288.82</w:t>
      </w:r>
      <w:r>
        <w:rPr>
          <w:rFonts w:hint="eastAsia" w:ascii="Times New Roman" w:hAnsi="Times New Roman" w:eastAsia="仿宋"/>
          <w:color w:val="auto"/>
          <w:sz w:val="32"/>
          <w:szCs w:val="32"/>
          <w:highlight w:val="none"/>
        </w:rPr>
        <w:t>万元，占</w:t>
      </w:r>
      <w:r>
        <w:rPr>
          <w:rFonts w:hint="eastAsia" w:ascii="Times New Roman" w:hAnsi="Times New Roman" w:eastAsia="仿宋"/>
          <w:color w:val="auto"/>
          <w:sz w:val="32"/>
          <w:szCs w:val="32"/>
          <w:highlight w:val="none"/>
          <w:lang w:val="en-US" w:eastAsia="zh-CN"/>
        </w:rPr>
        <w:t>0.8</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w:t>
      </w:r>
      <w:r>
        <w:rPr>
          <w:rFonts w:hint="eastAsia" w:ascii="Times New Roman" w:hAnsi="Times New Roman" w:eastAsia="仿宋"/>
          <w:b/>
          <w:color w:val="auto"/>
          <w:sz w:val="32"/>
          <w:szCs w:val="32"/>
          <w:highlight w:val="none"/>
        </w:rPr>
        <w:t>社会保障和就业</w:t>
      </w:r>
      <w:r>
        <w:rPr>
          <w:rFonts w:hint="eastAsia" w:ascii="Times New Roman" w:hAnsi="Times New Roman" w:eastAsia="仿宋"/>
          <w:b/>
          <w:bCs/>
          <w:color w:val="auto"/>
          <w:sz w:val="32"/>
          <w:szCs w:val="32"/>
          <w:highlight w:val="none"/>
        </w:rPr>
        <w:t>支出6.03</w:t>
      </w:r>
      <w:r>
        <w:rPr>
          <w:rFonts w:hint="eastAsia" w:ascii="Times New Roman" w:hAnsi="Times New Roman" w:eastAsia="仿宋"/>
          <w:color w:val="auto"/>
          <w:sz w:val="32"/>
          <w:szCs w:val="32"/>
          <w:highlight w:val="none"/>
        </w:rPr>
        <w:t>万元，占</w:t>
      </w:r>
      <w:r>
        <w:rPr>
          <w:rFonts w:hint="eastAsia" w:ascii="Times New Roman" w:hAnsi="Times New Roman" w:eastAsia="仿宋"/>
          <w:color w:val="auto"/>
          <w:sz w:val="32"/>
          <w:szCs w:val="32"/>
          <w:highlight w:val="none"/>
          <w:lang w:val="en-US" w:eastAsia="zh-CN"/>
        </w:rPr>
        <w:t>0.02</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rPr>
        <w:t>；</w:t>
      </w:r>
      <w:r>
        <w:rPr>
          <w:rFonts w:hint="eastAsia" w:ascii="Times New Roman" w:hAnsi="Times New Roman" w:eastAsia="仿宋"/>
          <w:b/>
          <w:bCs/>
          <w:color w:val="auto"/>
          <w:sz w:val="32"/>
          <w:szCs w:val="32"/>
          <w:highlight w:val="none"/>
        </w:rPr>
        <w:t>卫生健康支出328.18</w:t>
      </w:r>
      <w:r>
        <w:rPr>
          <w:rFonts w:hint="eastAsia" w:ascii="Times New Roman" w:hAnsi="Times New Roman" w:eastAsia="仿宋"/>
          <w:color w:val="auto"/>
          <w:sz w:val="32"/>
          <w:szCs w:val="32"/>
          <w:highlight w:val="none"/>
        </w:rPr>
        <w:t>万元，占</w:t>
      </w:r>
      <w:r>
        <w:rPr>
          <w:rFonts w:hint="eastAsia" w:ascii="Times New Roman" w:hAnsi="Times New Roman" w:eastAsia="仿宋"/>
          <w:color w:val="auto"/>
          <w:sz w:val="32"/>
          <w:szCs w:val="32"/>
          <w:highlight w:val="none"/>
          <w:lang w:val="en-US" w:eastAsia="zh-CN"/>
        </w:rPr>
        <w:t>0.9</w:t>
      </w:r>
      <w:r>
        <w:rPr>
          <w:rFonts w:ascii="Times New Roman" w:hAnsi="Times New Roman" w:eastAsia="仿宋"/>
          <w:color w:val="auto"/>
          <w:sz w:val="32"/>
          <w:szCs w:val="32"/>
          <w:highlight w:val="none"/>
        </w:rPr>
        <w:t>%</w:t>
      </w:r>
      <w:r>
        <w:rPr>
          <w:rFonts w:hint="eastAsia" w:ascii="Times New Roman" w:hAnsi="Times New Roman" w:eastAsia="仿宋"/>
          <w:color w:val="auto"/>
          <w:sz w:val="32"/>
          <w:szCs w:val="32"/>
          <w:highlight w:val="none"/>
          <w:lang w:eastAsia="zh-CN"/>
        </w:rPr>
        <w:t>。</w:t>
      </w:r>
      <w:r>
        <w:rPr>
          <w:rFonts w:hint="eastAsia" w:ascii="Times New Roman" w:hAnsi="Times New Roman" w:eastAsia="仿宋"/>
          <w:color w:val="auto"/>
          <w:sz w:val="32"/>
          <w:szCs w:val="32"/>
          <w:highlight w:val="none"/>
          <w:lang w:val="en-US" w:eastAsia="zh-CN"/>
        </w:rPr>
        <w:t>详见图6。</w:t>
      </w:r>
    </w:p>
    <w:p w14:paraId="77F57EFF">
      <w:pPr>
        <w:pStyle w:val="2"/>
        <w:pageBreakBefore w:val="0"/>
        <w:kinsoku/>
        <w:wordWrap/>
        <w:overflowPunct/>
        <w:topLinePunct w:val="0"/>
        <w:bidi w:val="0"/>
        <w:spacing w:after="0" w:line="560" w:lineRule="exact"/>
        <w:ind w:left="0" w:leftChars="0"/>
        <w:jc w:val="center"/>
        <w:rPr>
          <w:rFonts w:hint="eastAsia" w:ascii="Times New Roman" w:hAnsi="Times New Roman" w:eastAsia="仿宋" w:cstheme="minorBidi"/>
          <w:color w:val="auto"/>
          <w:kern w:val="2"/>
          <w:sz w:val="28"/>
          <w:szCs w:val="28"/>
          <w:highlight w:val="none"/>
          <w:lang w:val="en-US" w:eastAsia="zh-CN" w:bidi="ar-SA"/>
        </w:rPr>
      </w:pPr>
      <w:r>
        <w:rPr>
          <w:rFonts w:ascii="Times New Roman" w:hAnsi="Times New Roman"/>
        </w:rPr>
        <w:drawing>
          <wp:anchor distT="0" distB="0" distL="114300" distR="114300" simplePos="0" relativeHeight="251665408" behindDoc="0" locked="0" layoutInCell="1" allowOverlap="1">
            <wp:simplePos x="0" y="0"/>
            <wp:positionH relativeFrom="column">
              <wp:posOffset>490220</wp:posOffset>
            </wp:positionH>
            <wp:positionV relativeFrom="paragraph">
              <wp:posOffset>194310</wp:posOffset>
            </wp:positionV>
            <wp:extent cx="4978400" cy="3060065"/>
            <wp:effectExtent l="4445" t="4445" r="8255" b="21590"/>
            <wp:wrapTopAndBottom/>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hint="eastAsia" w:ascii="Times New Roman" w:hAnsi="Times New Roman" w:eastAsia="仿宋" w:cstheme="minorBidi"/>
          <w:color w:val="auto"/>
          <w:kern w:val="2"/>
          <w:sz w:val="28"/>
          <w:szCs w:val="28"/>
          <w:highlight w:val="none"/>
          <w:lang w:val="en-US" w:eastAsia="zh-CN" w:bidi="ar-SA"/>
        </w:rPr>
        <w:t>图6</w:t>
      </w:r>
    </w:p>
    <w:p w14:paraId="0DBCE18F">
      <w:pPr>
        <w:keepNext w:val="0"/>
        <w:keepLines w:val="0"/>
        <w:pageBreakBefore w:val="0"/>
        <w:kinsoku/>
        <w:wordWrap/>
        <w:overflowPunct/>
        <w:topLinePunct w:val="0"/>
        <w:bidi w:val="0"/>
        <w:snapToGrid/>
        <w:spacing w:line="560" w:lineRule="exact"/>
        <w:ind w:left="0" w:leftChars="0" w:right="0" w:firstLine="643" w:firstLineChars="200"/>
        <w:jc w:val="left"/>
        <w:outlineLvl w:val="2"/>
        <w:rPr>
          <w:rFonts w:ascii="Times New Roman" w:hAnsi="Times New Roman" w:eastAsia="仿宋"/>
          <w:b/>
          <w:color w:val="auto"/>
          <w:sz w:val="32"/>
          <w:szCs w:val="32"/>
          <w:highlight w:val="none"/>
        </w:rPr>
      </w:pPr>
      <w:r>
        <w:rPr>
          <w:rFonts w:hint="eastAsia" w:ascii="Times New Roman" w:hAnsi="Times New Roman" w:eastAsia="仿宋"/>
          <w:b/>
          <w:color w:val="auto"/>
          <w:sz w:val="32"/>
          <w:szCs w:val="32"/>
          <w:highlight w:val="none"/>
        </w:rPr>
        <w:t>（三）一般公共预算财政拨款支出决算具体情况</w:t>
      </w:r>
    </w:p>
    <w:p w14:paraId="25373A3F">
      <w:pPr>
        <w:keepNext w:val="0"/>
        <w:keepLines w:val="0"/>
        <w:pageBreakBefore w:val="0"/>
        <w:kinsoku/>
        <w:wordWrap/>
        <w:overflowPunct/>
        <w:topLinePunct w:val="0"/>
        <w:bidi w:val="0"/>
        <w:snapToGrid/>
        <w:spacing w:line="560" w:lineRule="exact"/>
        <w:ind w:left="0" w:leftChars="0" w:right="0" w:firstLine="643" w:firstLineChars="200"/>
        <w:jc w:val="left"/>
        <w:outlineLvl w:val="2"/>
        <w:rPr>
          <w:rFonts w:ascii="Times New Roman" w:hAnsi="Times New Roman" w:eastAsia="仿宋"/>
          <w:color w:val="auto"/>
          <w:sz w:val="32"/>
          <w:szCs w:val="32"/>
          <w:highlight w:val="none"/>
        </w:rPr>
      </w:pPr>
      <w:r>
        <w:rPr>
          <w:rFonts w:hint="eastAsia" w:ascii="Times New Roman" w:hAnsi="Times New Roman" w:eastAsia="仿宋"/>
          <w:b/>
          <w:color w:val="auto"/>
          <w:sz w:val="32"/>
          <w:szCs w:val="32"/>
          <w:highlight w:val="none"/>
          <w:lang w:eastAsia="zh-CN"/>
        </w:rPr>
        <w:t>2023</w:t>
      </w:r>
      <w:r>
        <w:rPr>
          <w:rFonts w:hint="eastAsia" w:ascii="Times New Roman" w:hAnsi="Times New Roman" w:eastAsia="仿宋"/>
          <w:b/>
          <w:color w:val="auto"/>
          <w:sz w:val="32"/>
          <w:szCs w:val="32"/>
          <w:highlight w:val="none"/>
        </w:rPr>
        <w:t>年</w:t>
      </w:r>
      <w:r>
        <w:rPr>
          <w:rFonts w:hint="eastAsia" w:ascii="Times New Roman" w:hAnsi="Times New Roman" w:eastAsia="仿宋"/>
          <w:b/>
          <w:color w:val="auto"/>
          <w:sz w:val="32"/>
          <w:szCs w:val="32"/>
          <w:highlight w:val="none"/>
          <w:lang w:eastAsia="zh-CN"/>
        </w:rPr>
        <w:t>度一</w:t>
      </w:r>
      <w:r>
        <w:rPr>
          <w:rFonts w:hint="eastAsia" w:ascii="Times New Roman" w:hAnsi="Times New Roman" w:eastAsia="仿宋"/>
          <w:b/>
          <w:color w:val="auto"/>
          <w:sz w:val="32"/>
          <w:szCs w:val="32"/>
          <w:highlight w:val="none"/>
        </w:rPr>
        <w:t>般公共预算支出决算数为</w:t>
      </w:r>
      <w:r>
        <w:rPr>
          <w:rFonts w:hint="eastAsia" w:ascii="Times New Roman" w:hAnsi="Times New Roman" w:eastAsia="仿宋_GB2312"/>
          <w:sz w:val="32"/>
          <w:szCs w:val="32"/>
          <w:lang w:val="en-US" w:eastAsia="zh-CN"/>
        </w:rPr>
        <w:t>37420.67万元</w:t>
      </w:r>
      <w:r>
        <w:rPr>
          <w:rFonts w:hint="eastAsia" w:ascii="Times New Roman" w:hAnsi="Times New Roman" w:eastAsia="仿宋"/>
          <w:color w:val="auto"/>
          <w:sz w:val="32"/>
          <w:szCs w:val="32"/>
          <w:highlight w:val="none"/>
        </w:rPr>
        <w:t>，</w:t>
      </w:r>
      <w:r>
        <w:rPr>
          <w:rStyle w:val="16"/>
          <w:rFonts w:hint="eastAsia" w:ascii="Times New Roman" w:hAnsi="Times New Roman" w:eastAsia="仿宋"/>
          <w:bCs/>
          <w:color w:val="auto"/>
          <w:sz w:val="32"/>
          <w:szCs w:val="32"/>
          <w:highlight w:val="none"/>
        </w:rPr>
        <w:t>完成预算</w:t>
      </w:r>
      <w:r>
        <w:rPr>
          <w:rStyle w:val="16"/>
          <w:rFonts w:hint="eastAsia" w:ascii="Times New Roman" w:hAnsi="Times New Roman" w:eastAsia="仿宋"/>
          <w:bCs/>
          <w:color w:val="auto"/>
          <w:sz w:val="32"/>
          <w:szCs w:val="32"/>
          <w:highlight w:val="none"/>
          <w:lang w:val="en-US" w:eastAsia="zh-CN"/>
        </w:rPr>
        <w:t>100</w:t>
      </w:r>
      <w:r>
        <w:rPr>
          <w:rStyle w:val="16"/>
          <w:rFonts w:ascii="Times New Roman" w:hAnsi="Times New Roman" w:eastAsia="仿宋"/>
          <w:bCs/>
          <w:color w:val="auto"/>
          <w:sz w:val="32"/>
          <w:szCs w:val="32"/>
          <w:highlight w:val="none"/>
        </w:rPr>
        <w:t>%</w:t>
      </w:r>
      <w:r>
        <w:rPr>
          <w:rStyle w:val="16"/>
          <w:rFonts w:hint="eastAsia" w:ascii="Times New Roman" w:hAnsi="Times New Roman" w:eastAsia="仿宋"/>
          <w:bCs/>
          <w:color w:val="auto"/>
          <w:sz w:val="32"/>
          <w:szCs w:val="32"/>
          <w:highlight w:val="none"/>
        </w:rPr>
        <w:t>。其中：</w:t>
      </w:r>
    </w:p>
    <w:p w14:paraId="563AAADC">
      <w:pPr>
        <w:pageBreakBefore w:val="0"/>
        <w:numPr>
          <w:ilvl w:val="0"/>
          <w:numId w:val="0"/>
        </w:numPr>
        <w:kinsoku/>
        <w:wordWrap/>
        <w:overflowPunct/>
        <w:topLinePunct w:val="0"/>
        <w:bidi w:val="0"/>
        <w:spacing w:line="560" w:lineRule="exact"/>
        <w:ind w:left="0" w:leftChars="0" w:firstLine="643" w:firstLineChars="200"/>
        <w:rPr>
          <w:rFonts w:ascii="Times New Roman" w:hAnsi="Times New Roman" w:eastAsia="仿宋"/>
          <w:b/>
          <w:color w:val="auto"/>
          <w:sz w:val="32"/>
          <w:szCs w:val="32"/>
          <w:highlight w:val="none"/>
        </w:rPr>
      </w:pPr>
      <w:r>
        <w:rPr>
          <w:rStyle w:val="16"/>
          <w:rFonts w:hint="eastAsia" w:ascii="Times New Roman" w:hAnsi="Times New Roman" w:eastAsia="仿宋"/>
          <w:b/>
          <w:bCs w:val="0"/>
          <w:color w:val="auto"/>
          <w:sz w:val="32"/>
          <w:szCs w:val="32"/>
          <w:highlight w:val="none"/>
          <w:lang w:val="en-US" w:eastAsia="zh-CN"/>
        </w:rPr>
        <w:t>1.</w:t>
      </w:r>
      <w:r>
        <w:rPr>
          <w:rStyle w:val="16"/>
          <w:rFonts w:hint="eastAsia" w:ascii="Times New Roman" w:hAnsi="Times New Roman" w:eastAsia="仿宋"/>
          <w:bCs/>
          <w:sz w:val="32"/>
          <w:szCs w:val="32"/>
        </w:rPr>
        <w:t>教育支出（类）普通教育（款）高等教育（项）</w:t>
      </w:r>
      <w:r>
        <w:rPr>
          <w:rStyle w:val="16"/>
          <w:rFonts w:hint="eastAsia" w:ascii="Times New Roman" w:hAnsi="Times New Roman" w:eastAsia="仿宋"/>
          <w:bCs/>
          <w:sz w:val="32"/>
          <w:szCs w:val="32"/>
          <w:lang w:eastAsia="zh-CN"/>
        </w:rPr>
        <w:t>：</w:t>
      </w:r>
      <w:r>
        <w:rPr>
          <w:rStyle w:val="16"/>
          <w:rFonts w:ascii="Times New Roman" w:hAnsi="Times New Roman" w:eastAsia="仿宋"/>
          <w:b w:val="0"/>
          <w:bCs/>
          <w:color w:val="auto"/>
          <w:sz w:val="32"/>
          <w:szCs w:val="32"/>
          <w:highlight w:val="none"/>
        </w:rPr>
        <w:t xml:space="preserve"> </w:t>
      </w:r>
      <w:r>
        <w:rPr>
          <w:rStyle w:val="16"/>
          <w:rFonts w:hint="eastAsia" w:ascii="Times New Roman" w:hAnsi="Times New Roman" w:eastAsia="仿宋"/>
          <w:b w:val="0"/>
          <w:bCs/>
          <w:color w:val="auto"/>
          <w:sz w:val="32"/>
          <w:szCs w:val="32"/>
          <w:highlight w:val="none"/>
        </w:rPr>
        <w:t>支出决算为36797.65万元，完成预算</w:t>
      </w:r>
      <w:r>
        <w:rPr>
          <w:rStyle w:val="16"/>
          <w:rFonts w:hint="eastAsia" w:ascii="Times New Roman" w:hAnsi="Times New Roman" w:eastAsia="仿宋"/>
          <w:b w:val="0"/>
          <w:bCs/>
          <w:color w:val="auto"/>
          <w:sz w:val="32"/>
          <w:szCs w:val="32"/>
          <w:highlight w:val="none"/>
          <w:lang w:val="en-US" w:eastAsia="zh-CN"/>
        </w:rPr>
        <w:t>100</w:t>
      </w:r>
      <w:r>
        <w:rPr>
          <w:rStyle w:val="16"/>
          <w:rFonts w:ascii="Times New Roman" w:hAnsi="Times New Roman" w:eastAsia="仿宋"/>
          <w:b w:val="0"/>
          <w:bCs/>
          <w:color w:val="auto"/>
          <w:sz w:val="32"/>
          <w:szCs w:val="32"/>
          <w:highlight w:val="none"/>
        </w:rPr>
        <w:t>%</w:t>
      </w:r>
      <w:r>
        <w:rPr>
          <w:rStyle w:val="16"/>
          <w:rFonts w:hint="eastAsia" w:ascii="Times New Roman" w:hAnsi="Times New Roman" w:eastAsia="仿宋"/>
          <w:b w:val="0"/>
          <w:bCs/>
          <w:color w:val="auto"/>
          <w:sz w:val="32"/>
          <w:szCs w:val="32"/>
          <w:highlight w:val="none"/>
        </w:rPr>
        <w:t>。</w:t>
      </w:r>
    </w:p>
    <w:p w14:paraId="00AFAA1B">
      <w:pPr>
        <w:pageBreakBefore w:val="0"/>
        <w:kinsoku/>
        <w:wordWrap/>
        <w:overflowPunct/>
        <w:topLinePunct w:val="0"/>
        <w:bidi w:val="0"/>
        <w:spacing w:line="560" w:lineRule="exact"/>
        <w:ind w:left="0" w:leftChars="0" w:firstLine="643" w:firstLineChars="200"/>
        <w:rPr>
          <w:rStyle w:val="16"/>
          <w:rFonts w:ascii="Times New Roman" w:hAnsi="Times New Roman" w:eastAsia="仿宋"/>
          <w:b w:val="0"/>
          <w:bCs/>
          <w:sz w:val="32"/>
          <w:szCs w:val="32"/>
        </w:rPr>
      </w:pPr>
      <w:r>
        <w:rPr>
          <w:rStyle w:val="16"/>
          <w:rFonts w:hint="eastAsia" w:ascii="Times New Roman" w:hAnsi="Times New Roman" w:eastAsia="仿宋"/>
          <w:bCs/>
          <w:color w:val="auto"/>
          <w:sz w:val="32"/>
          <w:szCs w:val="32"/>
          <w:highlight w:val="none"/>
          <w:lang w:val="en-US" w:eastAsia="zh-CN"/>
        </w:rPr>
        <w:t>2</w:t>
      </w:r>
      <w:r>
        <w:rPr>
          <w:rStyle w:val="16"/>
          <w:rFonts w:ascii="Times New Roman" w:hAnsi="Times New Roman" w:eastAsia="仿宋"/>
          <w:bCs/>
          <w:color w:val="auto"/>
          <w:sz w:val="32"/>
          <w:szCs w:val="32"/>
          <w:highlight w:val="none"/>
        </w:rPr>
        <w:t>.</w:t>
      </w:r>
      <w:r>
        <w:rPr>
          <w:rStyle w:val="16"/>
          <w:rFonts w:hint="eastAsia" w:ascii="Times New Roman" w:hAnsi="Times New Roman" w:eastAsia="仿宋"/>
          <w:bCs/>
          <w:sz w:val="32"/>
          <w:szCs w:val="32"/>
        </w:rPr>
        <w:t>科学技术（类）基础研究（款）专项基础科研（项）</w:t>
      </w:r>
      <w:r>
        <w:rPr>
          <w:rStyle w:val="16"/>
          <w:rFonts w:hint="eastAsia" w:ascii="Times New Roman" w:hAnsi="Times New Roman" w:eastAsia="仿宋"/>
          <w:bCs/>
          <w:sz w:val="32"/>
          <w:szCs w:val="32"/>
          <w:lang w:eastAsia="zh-CN"/>
        </w:rPr>
        <w:t>：</w:t>
      </w:r>
      <w:r>
        <w:rPr>
          <w:rStyle w:val="16"/>
          <w:rFonts w:hint="eastAsia" w:ascii="Times New Roman" w:hAnsi="Times New Roman" w:eastAsia="仿宋"/>
          <w:b w:val="0"/>
          <w:bCs/>
          <w:sz w:val="32"/>
          <w:szCs w:val="32"/>
        </w:rPr>
        <w:t>支出决算为168.75万元，完成预算100%；</w:t>
      </w:r>
    </w:p>
    <w:p w14:paraId="3134E710">
      <w:pPr>
        <w:pageBreakBefore w:val="0"/>
        <w:kinsoku/>
        <w:wordWrap/>
        <w:overflowPunct/>
        <w:topLinePunct w:val="0"/>
        <w:bidi w:val="0"/>
        <w:spacing w:line="560" w:lineRule="exact"/>
        <w:ind w:left="0" w:leftChars="0" w:firstLine="964" w:firstLineChars="300"/>
        <w:rPr>
          <w:rStyle w:val="16"/>
          <w:rFonts w:hint="eastAsia" w:ascii="Times New Roman" w:hAnsi="Times New Roman" w:eastAsia="仿宋"/>
          <w:b w:val="0"/>
          <w:bCs/>
          <w:sz w:val="32"/>
          <w:szCs w:val="32"/>
        </w:rPr>
      </w:pPr>
      <w:r>
        <w:rPr>
          <w:rStyle w:val="16"/>
          <w:rFonts w:hint="eastAsia" w:ascii="Times New Roman" w:hAnsi="Times New Roman" w:eastAsia="仿宋"/>
          <w:bCs/>
          <w:sz w:val="32"/>
          <w:szCs w:val="32"/>
        </w:rPr>
        <w:t>科学技术（类）技术研究与开发（款） 科技成果转化与扩散（项）：</w:t>
      </w:r>
      <w:r>
        <w:rPr>
          <w:rStyle w:val="16"/>
          <w:rFonts w:hint="eastAsia" w:ascii="Times New Roman" w:hAnsi="Times New Roman" w:eastAsia="仿宋"/>
          <w:b w:val="0"/>
          <w:bCs/>
          <w:sz w:val="32"/>
          <w:szCs w:val="32"/>
        </w:rPr>
        <w:t>支出决算为26.64</w:t>
      </w:r>
      <w:r>
        <w:rPr>
          <w:rStyle w:val="16"/>
          <w:rFonts w:hint="eastAsia" w:ascii="Times New Roman" w:hAnsi="Times New Roman" w:eastAsia="仿宋" w:cstheme="minorBidi"/>
          <w:b w:val="0"/>
          <w:bCs/>
          <w:sz w:val="32"/>
          <w:szCs w:val="32"/>
        </w:rPr>
        <w:t>万元，</w:t>
      </w:r>
      <w:r>
        <w:rPr>
          <w:rStyle w:val="16"/>
          <w:rFonts w:hint="eastAsia" w:ascii="Times New Roman" w:hAnsi="Times New Roman" w:eastAsia="仿宋"/>
          <w:b w:val="0"/>
          <w:bCs/>
          <w:sz w:val="32"/>
          <w:szCs w:val="32"/>
        </w:rPr>
        <w:t>完成预算100%。</w:t>
      </w:r>
    </w:p>
    <w:p w14:paraId="62EC66F8">
      <w:pPr>
        <w:pageBreakBefore w:val="0"/>
        <w:kinsoku/>
        <w:wordWrap/>
        <w:overflowPunct/>
        <w:topLinePunct w:val="0"/>
        <w:bidi w:val="0"/>
        <w:spacing w:line="560" w:lineRule="exact"/>
        <w:ind w:left="0" w:leftChars="0" w:firstLine="964" w:firstLineChars="300"/>
        <w:rPr>
          <w:rStyle w:val="16"/>
          <w:rFonts w:hint="eastAsia" w:ascii="Times New Roman" w:hAnsi="Times New Roman" w:eastAsia="仿宋"/>
          <w:b w:val="0"/>
          <w:bCs/>
          <w:sz w:val="32"/>
          <w:szCs w:val="32"/>
        </w:rPr>
      </w:pPr>
      <w:r>
        <w:rPr>
          <w:rStyle w:val="16"/>
          <w:rFonts w:hint="eastAsia" w:ascii="Times New Roman" w:hAnsi="Times New Roman" w:eastAsia="仿宋"/>
          <w:bCs/>
          <w:sz w:val="32"/>
          <w:szCs w:val="32"/>
        </w:rPr>
        <w:t>科学技术（类）科技重大项目（款） 重点研发计划（项）：</w:t>
      </w:r>
      <w:r>
        <w:rPr>
          <w:rStyle w:val="16"/>
          <w:rFonts w:hint="eastAsia" w:ascii="Times New Roman" w:hAnsi="Times New Roman" w:eastAsia="仿宋"/>
          <w:b w:val="0"/>
          <w:bCs/>
          <w:sz w:val="32"/>
          <w:szCs w:val="32"/>
        </w:rPr>
        <w:t>支出决算为31.99</w:t>
      </w:r>
      <w:r>
        <w:rPr>
          <w:rStyle w:val="16"/>
          <w:rFonts w:hint="eastAsia" w:ascii="Times New Roman" w:hAnsi="Times New Roman" w:eastAsia="仿宋" w:cstheme="minorBidi"/>
          <w:b w:val="0"/>
          <w:bCs/>
          <w:sz w:val="32"/>
          <w:szCs w:val="32"/>
        </w:rPr>
        <w:t>万元，</w:t>
      </w:r>
      <w:r>
        <w:rPr>
          <w:rStyle w:val="16"/>
          <w:rFonts w:hint="eastAsia" w:ascii="Times New Roman" w:hAnsi="Times New Roman" w:eastAsia="仿宋"/>
          <w:b w:val="0"/>
          <w:bCs/>
          <w:sz w:val="32"/>
          <w:szCs w:val="32"/>
        </w:rPr>
        <w:t>完成预算100%。</w:t>
      </w:r>
    </w:p>
    <w:p w14:paraId="168689C3">
      <w:pPr>
        <w:pageBreakBefore w:val="0"/>
        <w:kinsoku/>
        <w:wordWrap/>
        <w:overflowPunct/>
        <w:topLinePunct w:val="0"/>
        <w:bidi w:val="0"/>
        <w:spacing w:line="560" w:lineRule="exact"/>
        <w:ind w:left="0" w:leftChars="0" w:firstLine="964" w:firstLineChars="300"/>
        <w:rPr>
          <w:rFonts w:hint="default" w:ascii="Times New Roman" w:hAnsi="Times New Roman" w:eastAsia="仿宋"/>
          <w:lang w:val="en-US" w:eastAsia="zh-CN"/>
        </w:rPr>
      </w:pPr>
      <w:r>
        <w:rPr>
          <w:rStyle w:val="16"/>
          <w:rFonts w:hint="eastAsia" w:ascii="Times New Roman" w:hAnsi="Times New Roman" w:eastAsia="仿宋"/>
          <w:bCs/>
          <w:sz w:val="32"/>
          <w:szCs w:val="32"/>
        </w:rPr>
        <w:t>科学技术（类）其他科学技术支出（款）其他科学技术支出（项）：</w:t>
      </w:r>
      <w:r>
        <w:rPr>
          <w:rStyle w:val="16"/>
          <w:rFonts w:hint="eastAsia" w:ascii="Times New Roman" w:hAnsi="Times New Roman" w:eastAsia="仿宋"/>
          <w:b w:val="0"/>
          <w:bCs/>
          <w:sz w:val="32"/>
          <w:szCs w:val="32"/>
        </w:rPr>
        <w:t>支出决算为61.44</w:t>
      </w:r>
      <w:r>
        <w:rPr>
          <w:rStyle w:val="16"/>
          <w:rFonts w:hint="eastAsia" w:ascii="Times New Roman" w:hAnsi="Times New Roman" w:eastAsia="仿宋" w:cstheme="minorBidi"/>
          <w:b w:val="0"/>
          <w:bCs/>
          <w:sz w:val="32"/>
          <w:szCs w:val="32"/>
        </w:rPr>
        <w:t>万元，</w:t>
      </w:r>
      <w:r>
        <w:rPr>
          <w:rStyle w:val="16"/>
          <w:rFonts w:hint="eastAsia" w:ascii="Times New Roman" w:hAnsi="Times New Roman" w:eastAsia="仿宋"/>
          <w:b w:val="0"/>
          <w:bCs/>
          <w:sz w:val="32"/>
          <w:szCs w:val="32"/>
        </w:rPr>
        <w:t>完成预算100%。</w:t>
      </w:r>
    </w:p>
    <w:p w14:paraId="3D1331E6">
      <w:pPr>
        <w:pageBreakBefore w:val="0"/>
        <w:kinsoku/>
        <w:wordWrap/>
        <w:overflowPunct/>
        <w:topLinePunct w:val="0"/>
        <w:bidi w:val="0"/>
        <w:spacing w:line="560" w:lineRule="exact"/>
        <w:ind w:left="0" w:leftChars="0" w:firstLine="643" w:firstLineChars="200"/>
        <w:rPr>
          <w:rStyle w:val="16"/>
          <w:rFonts w:hint="eastAsia" w:ascii="Times New Roman" w:hAnsi="Times New Roman" w:eastAsia="仿宋"/>
          <w:b w:val="0"/>
          <w:bCs/>
          <w:color w:val="auto"/>
          <w:sz w:val="32"/>
          <w:szCs w:val="32"/>
          <w:highlight w:val="none"/>
        </w:rPr>
      </w:pPr>
      <w:r>
        <w:rPr>
          <w:rStyle w:val="16"/>
          <w:rFonts w:hint="eastAsia" w:ascii="Times New Roman" w:hAnsi="Times New Roman" w:eastAsia="仿宋"/>
          <w:b/>
          <w:bCs w:val="0"/>
          <w:sz w:val="32"/>
          <w:szCs w:val="32"/>
          <w:lang w:val="en-US" w:eastAsia="zh-CN"/>
        </w:rPr>
        <w:t>3.</w:t>
      </w:r>
      <w:r>
        <w:rPr>
          <w:rStyle w:val="16"/>
          <w:rFonts w:hint="eastAsia" w:ascii="Times New Roman" w:hAnsi="Times New Roman" w:eastAsia="仿宋"/>
          <w:bCs/>
          <w:color w:val="auto"/>
          <w:sz w:val="32"/>
          <w:szCs w:val="32"/>
          <w:highlight w:val="none"/>
        </w:rPr>
        <w:t>社会保障和就业（类</w:t>
      </w:r>
      <w:r>
        <w:rPr>
          <w:rStyle w:val="16"/>
          <w:rFonts w:hint="eastAsia" w:ascii="Times New Roman" w:hAnsi="Times New Roman" w:eastAsia="仿宋"/>
          <w:bCs/>
          <w:color w:val="auto"/>
          <w:sz w:val="32"/>
          <w:szCs w:val="32"/>
          <w:highlight w:val="none"/>
          <w:lang w:eastAsia="zh-CN"/>
        </w:rPr>
        <w:t>）</w:t>
      </w:r>
      <w:r>
        <w:rPr>
          <w:rStyle w:val="16"/>
          <w:rFonts w:hint="eastAsia" w:ascii="Times New Roman" w:hAnsi="Times New Roman" w:eastAsia="仿宋"/>
          <w:bCs/>
          <w:color w:val="auto"/>
          <w:sz w:val="32"/>
          <w:szCs w:val="32"/>
          <w:highlight w:val="none"/>
        </w:rPr>
        <w:t>行政事业单位养老支出（款）事业单位离退休（项）</w:t>
      </w:r>
      <w:r>
        <w:rPr>
          <w:rStyle w:val="16"/>
          <w:rFonts w:hint="eastAsia" w:ascii="Times New Roman" w:hAnsi="Times New Roman" w:eastAsia="仿宋"/>
          <w:bCs/>
          <w:color w:val="auto"/>
          <w:sz w:val="32"/>
          <w:szCs w:val="32"/>
          <w:highlight w:val="none"/>
          <w:lang w:eastAsia="zh-CN"/>
        </w:rPr>
        <w:t>：</w:t>
      </w:r>
      <w:r>
        <w:rPr>
          <w:rStyle w:val="16"/>
          <w:rFonts w:ascii="Times New Roman" w:hAnsi="Times New Roman" w:eastAsia="仿宋"/>
          <w:b w:val="0"/>
          <w:bCs/>
          <w:color w:val="auto"/>
          <w:sz w:val="32"/>
          <w:szCs w:val="32"/>
          <w:highlight w:val="none"/>
        </w:rPr>
        <w:t xml:space="preserve"> </w:t>
      </w:r>
      <w:r>
        <w:rPr>
          <w:rStyle w:val="16"/>
          <w:rFonts w:hint="eastAsia" w:ascii="Times New Roman" w:hAnsi="Times New Roman" w:eastAsia="仿宋"/>
          <w:b w:val="0"/>
          <w:bCs/>
          <w:color w:val="auto"/>
          <w:sz w:val="32"/>
          <w:szCs w:val="32"/>
          <w:highlight w:val="none"/>
        </w:rPr>
        <w:t>支出决算为</w:t>
      </w:r>
      <w:r>
        <w:rPr>
          <w:rStyle w:val="16"/>
          <w:rFonts w:hint="eastAsia" w:ascii="Times New Roman" w:hAnsi="Times New Roman" w:eastAsia="仿宋"/>
          <w:b w:val="0"/>
          <w:bCs/>
          <w:color w:val="auto"/>
          <w:sz w:val="32"/>
          <w:szCs w:val="32"/>
          <w:highlight w:val="none"/>
          <w:lang w:val="en-US" w:eastAsia="zh-CN"/>
        </w:rPr>
        <w:t>6.03</w:t>
      </w:r>
      <w:r>
        <w:rPr>
          <w:rStyle w:val="16"/>
          <w:rFonts w:hint="eastAsia" w:ascii="Times New Roman" w:hAnsi="Times New Roman" w:eastAsia="仿宋"/>
          <w:b w:val="0"/>
          <w:bCs/>
          <w:color w:val="auto"/>
          <w:sz w:val="32"/>
          <w:szCs w:val="32"/>
          <w:highlight w:val="none"/>
        </w:rPr>
        <w:t>万元，完成预算</w:t>
      </w:r>
      <w:r>
        <w:rPr>
          <w:rStyle w:val="16"/>
          <w:rFonts w:hint="eastAsia" w:ascii="Times New Roman" w:hAnsi="Times New Roman" w:eastAsia="仿宋"/>
          <w:b w:val="0"/>
          <w:bCs/>
          <w:color w:val="auto"/>
          <w:sz w:val="32"/>
          <w:szCs w:val="32"/>
          <w:highlight w:val="none"/>
          <w:lang w:val="en-US" w:eastAsia="zh-CN"/>
        </w:rPr>
        <w:t>100</w:t>
      </w:r>
      <w:r>
        <w:rPr>
          <w:rStyle w:val="16"/>
          <w:rFonts w:ascii="Times New Roman" w:hAnsi="Times New Roman" w:eastAsia="仿宋"/>
          <w:b w:val="0"/>
          <w:bCs/>
          <w:color w:val="auto"/>
          <w:sz w:val="32"/>
          <w:szCs w:val="32"/>
          <w:highlight w:val="none"/>
        </w:rPr>
        <w:t>%</w:t>
      </w:r>
      <w:r>
        <w:rPr>
          <w:rStyle w:val="16"/>
          <w:rFonts w:hint="eastAsia" w:ascii="Times New Roman" w:hAnsi="Times New Roman" w:eastAsia="仿宋"/>
          <w:b w:val="0"/>
          <w:bCs/>
          <w:color w:val="auto"/>
          <w:sz w:val="32"/>
          <w:szCs w:val="32"/>
          <w:highlight w:val="none"/>
        </w:rPr>
        <w:t>。</w:t>
      </w:r>
    </w:p>
    <w:p w14:paraId="471E193C">
      <w:pPr>
        <w:pageBreakBefore w:val="0"/>
        <w:kinsoku/>
        <w:wordWrap/>
        <w:overflowPunct/>
        <w:topLinePunct w:val="0"/>
        <w:bidi w:val="0"/>
        <w:spacing w:line="560" w:lineRule="exact"/>
        <w:ind w:left="0" w:leftChars="0" w:firstLine="643" w:firstLineChars="200"/>
        <w:rPr>
          <w:rStyle w:val="16"/>
          <w:rFonts w:hint="eastAsia" w:ascii="Times New Roman" w:hAnsi="Times New Roman" w:eastAsia="仿宋"/>
          <w:b w:val="0"/>
          <w:bCs/>
          <w:color w:val="auto"/>
          <w:sz w:val="32"/>
          <w:szCs w:val="32"/>
          <w:highlight w:val="none"/>
        </w:rPr>
      </w:pPr>
      <w:r>
        <w:rPr>
          <w:rStyle w:val="16"/>
          <w:rFonts w:hint="eastAsia" w:ascii="Times New Roman" w:hAnsi="Times New Roman" w:eastAsia="仿宋"/>
          <w:bCs/>
          <w:color w:val="auto"/>
          <w:sz w:val="32"/>
          <w:szCs w:val="32"/>
          <w:highlight w:val="none"/>
          <w:lang w:val="en-US" w:eastAsia="zh-CN"/>
        </w:rPr>
        <w:t>4</w:t>
      </w:r>
      <w:r>
        <w:rPr>
          <w:rStyle w:val="16"/>
          <w:rFonts w:ascii="Times New Roman" w:hAnsi="Times New Roman" w:eastAsia="仿宋"/>
          <w:bCs/>
          <w:color w:val="auto"/>
          <w:sz w:val="32"/>
          <w:szCs w:val="32"/>
          <w:highlight w:val="none"/>
        </w:rPr>
        <w:t>.</w:t>
      </w:r>
      <w:r>
        <w:rPr>
          <w:rFonts w:hint="eastAsia" w:ascii="Times New Roman" w:hAnsi="Times New Roman" w:eastAsia="仿宋"/>
          <w:b/>
          <w:bCs/>
          <w:color w:val="auto"/>
          <w:sz w:val="32"/>
          <w:szCs w:val="32"/>
          <w:highlight w:val="none"/>
        </w:rPr>
        <w:t>卫生健康</w:t>
      </w:r>
      <w:r>
        <w:rPr>
          <w:rStyle w:val="16"/>
          <w:rFonts w:hint="eastAsia" w:ascii="Times New Roman" w:hAnsi="Times New Roman" w:eastAsia="仿宋"/>
          <w:bCs/>
          <w:color w:val="auto"/>
          <w:sz w:val="32"/>
          <w:szCs w:val="32"/>
          <w:highlight w:val="none"/>
        </w:rPr>
        <w:t>（类）公共卫生（款）</w:t>
      </w:r>
      <w:r>
        <w:rPr>
          <w:rStyle w:val="16"/>
          <w:rFonts w:hint="eastAsia" w:ascii="Times New Roman" w:hAnsi="Times New Roman" w:eastAsia="仿宋"/>
          <w:bCs/>
          <w:color w:val="auto"/>
          <w:sz w:val="32"/>
          <w:szCs w:val="32"/>
          <w:highlight w:val="none"/>
          <w:lang w:eastAsia="zh-CN"/>
        </w:rPr>
        <w:t>重大</w:t>
      </w:r>
      <w:r>
        <w:rPr>
          <w:rStyle w:val="16"/>
          <w:rFonts w:hint="eastAsia" w:ascii="Times New Roman" w:hAnsi="Times New Roman" w:eastAsia="仿宋"/>
          <w:bCs/>
          <w:color w:val="auto"/>
          <w:sz w:val="32"/>
          <w:szCs w:val="32"/>
          <w:highlight w:val="none"/>
        </w:rPr>
        <w:t>公共卫生服务（项）</w:t>
      </w:r>
      <w:r>
        <w:rPr>
          <w:rStyle w:val="16"/>
          <w:rFonts w:hint="eastAsia" w:ascii="Times New Roman" w:hAnsi="Times New Roman" w:eastAsia="仿宋"/>
          <w:bCs/>
          <w:color w:val="auto"/>
          <w:sz w:val="32"/>
          <w:szCs w:val="32"/>
          <w:highlight w:val="none"/>
          <w:lang w:eastAsia="zh-CN"/>
        </w:rPr>
        <w:t>：</w:t>
      </w:r>
      <w:r>
        <w:rPr>
          <w:rStyle w:val="16"/>
          <w:rFonts w:hint="eastAsia" w:ascii="Times New Roman" w:hAnsi="Times New Roman" w:eastAsia="仿宋"/>
          <w:b w:val="0"/>
          <w:bCs/>
          <w:color w:val="auto"/>
          <w:sz w:val="32"/>
          <w:szCs w:val="32"/>
          <w:highlight w:val="none"/>
        </w:rPr>
        <w:t>支出决算为</w:t>
      </w:r>
      <w:r>
        <w:rPr>
          <w:rStyle w:val="16"/>
          <w:rFonts w:hint="eastAsia" w:ascii="Times New Roman" w:hAnsi="Times New Roman" w:eastAsia="仿宋"/>
          <w:b w:val="0"/>
          <w:bCs/>
          <w:color w:val="auto"/>
          <w:sz w:val="32"/>
          <w:szCs w:val="32"/>
          <w:highlight w:val="none"/>
          <w:lang w:val="en-US" w:eastAsia="zh-CN"/>
        </w:rPr>
        <w:t>3</w:t>
      </w:r>
      <w:r>
        <w:rPr>
          <w:rStyle w:val="16"/>
          <w:rFonts w:hint="eastAsia" w:ascii="Times New Roman" w:hAnsi="Times New Roman" w:eastAsia="仿宋"/>
          <w:b w:val="0"/>
          <w:bCs/>
          <w:color w:val="auto"/>
          <w:sz w:val="32"/>
          <w:szCs w:val="32"/>
          <w:highlight w:val="none"/>
        </w:rPr>
        <w:t>万元，完成预算</w:t>
      </w:r>
      <w:r>
        <w:rPr>
          <w:rStyle w:val="16"/>
          <w:rFonts w:hint="eastAsia" w:ascii="Times New Roman" w:hAnsi="Times New Roman" w:eastAsia="仿宋"/>
          <w:b w:val="0"/>
          <w:bCs/>
          <w:color w:val="auto"/>
          <w:sz w:val="32"/>
          <w:szCs w:val="32"/>
          <w:highlight w:val="none"/>
          <w:lang w:val="en-US" w:eastAsia="zh-CN"/>
        </w:rPr>
        <w:t>100</w:t>
      </w:r>
      <w:r>
        <w:rPr>
          <w:rStyle w:val="16"/>
          <w:rFonts w:ascii="Times New Roman" w:hAnsi="Times New Roman" w:eastAsia="仿宋"/>
          <w:b w:val="0"/>
          <w:bCs/>
          <w:color w:val="auto"/>
          <w:sz w:val="32"/>
          <w:szCs w:val="32"/>
          <w:highlight w:val="none"/>
        </w:rPr>
        <w:t>%</w:t>
      </w:r>
      <w:r>
        <w:rPr>
          <w:rStyle w:val="16"/>
          <w:rFonts w:hint="eastAsia" w:ascii="Times New Roman" w:hAnsi="Times New Roman" w:eastAsia="仿宋"/>
          <w:b w:val="0"/>
          <w:bCs/>
          <w:color w:val="auto"/>
          <w:sz w:val="32"/>
          <w:szCs w:val="32"/>
          <w:highlight w:val="none"/>
        </w:rPr>
        <w:t>。</w:t>
      </w:r>
    </w:p>
    <w:p w14:paraId="44C01D88">
      <w:pPr>
        <w:pageBreakBefore w:val="0"/>
        <w:kinsoku/>
        <w:wordWrap/>
        <w:overflowPunct/>
        <w:topLinePunct w:val="0"/>
        <w:bidi w:val="0"/>
        <w:spacing w:line="560" w:lineRule="exact"/>
        <w:ind w:left="0" w:leftChars="0" w:firstLine="964" w:firstLineChars="300"/>
        <w:rPr>
          <w:rStyle w:val="16"/>
          <w:rFonts w:hint="eastAsia" w:ascii="Times New Roman" w:hAnsi="Times New Roman" w:eastAsia="仿宋"/>
          <w:b w:val="0"/>
          <w:bCs/>
          <w:color w:val="auto"/>
          <w:sz w:val="32"/>
          <w:szCs w:val="32"/>
          <w:highlight w:val="none"/>
        </w:rPr>
      </w:pPr>
      <w:r>
        <w:rPr>
          <w:rFonts w:hint="eastAsia" w:ascii="Times New Roman" w:hAnsi="Times New Roman" w:eastAsia="仿宋"/>
          <w:b/>
          <w:bCs/>
          <w:color w:val="auto"/>
          <w:sz w:val="32"/>
          <w:szCs w:val="32"/>
          <w:highlight w:val="none"/>
        </w:rPr>
        <w:t>卫生健康</w:t>
      </w:r>
      <w:r>
        <w:rPr>
          <w:rStyle w:val="16"/>
          <w:rFonts w:hint="eastAsia" w:ascii="Times New Roman" w:hAnsi="Times New Roman" w:eastAsia="仿宋"/>
          <w:bCs/>
          <w:color w:val="auto"/>
          <w:sz w:val="32"/>
          <w:szCs w:val="32"/>
          <w:highlight w:val="none"/>
        </w:rPr>
        <w:t>（类）中医药（款）中医（民族医）药专项（项）</w:t>
      </w:r>
      <w:r>
        <w:rPr>
          <w:rStyle w:val="16"/>
          <w:rFonts w:hint="eastAsia" w:ascii="Times New Roman" w:hAnsi="Times New Roman" w:eastAsia="仿宋"/>
          <w:bCs/>
          <w:color w:val="auto"/>
          <w:sz w:val="32"/>
          <w:szCs w:val="32"/>
          <w:highlight w:val="none"/>
          <w:lang w:eastAsia="zh-CN"/>
        </w:rPr>
        <w:t>：</w:t>
      </w:r>
      <w:r>
        <w:rPr>
          <w:rStyle w:val="16"/>
          <w:rFonts w:hint="eastAsia" w:ascii="Times New Roman" w:hAnsi="Times New Roman" w:eastAsia="仿宋"/>
          <w:b w:val="0"/>
          <w:bCs/>
          <w:color w:val="auto"/>
          <w:sz w:val="32"/>
          <w:szCs w:val="32"/>
          <w:highlight w:val="none"/>
        </w:rPr>
        <w:t>支出决算为</w:t>
      </w:r>
      <w:r>
        <w:rPr>
          <w:rStyle w:val="16"/>
          <w:rFonts w:hint="eastAsia" w:ascii="Times New Roman" w:hAnsi="Times New Roman" w:eastAsia="仿宋"/>
          <w:b w:val="0"/>
          <w:bCs/>
          <w:color w:val="auto"/>
          <w:sz w:val="32"/>
          <w:szCs w:val="32"/>
          <w:highlight w:val="none"/>
          <w:lang w:val="en-US" w:eastAsia="zh-CN"/>
        </w:rPr>
        <w:t>10.62</w:t>
      </w:r>
      <w:r>
        <w:rPr>
          <w:rStyle w:val="16"/>
          <w:rFonts w:hint="eastAsia" w:ascii="Times New Roman" w:hAnsi="Times New Roman" w:eastAsia="仿宋"/>
          <w:b w:val="0"/>
          <w:bCs/>
          <w:color w:val="auto"/>
          <w:sz w:val="32"/>
          <w:szCs w:val="32"/>
          <w:highlight w:val="none"/>
        </w:rPr>
        <w:t>万元，完成预算</w:t>
      </w:r>
      <w:r>
        <w:rPr>
          <w:rStyle w:val="16"/>
          <w:rFonts w:hint="eastAsia" w:ascii="Times New Roman" w:hAnsi="Times New Roman" w:eastAsia="仿宋"/>
          <w:b w:val="0"/>
          <w:bCs/>
          <w:color w:val="auto"/>
          <w:sz w:val="32"/>
          <w:szCs w:val="32"/>
          <w:highlight w:val="none"/>
          <w:lang w:val="en-US" w:eastAsia="zh-CN"/>
        </w:rPr>
        <w:t>100</w:t>
      </w:r>
      <w:r>
        <w:rPr>
          <w:rStyle w:val="16"/>
          <w:rFonts w:ascii="Times New Roman" w:hAnsi="Times New Roman" w:eastAsia="仿宋"/>
          <w:b w:val="0"/>
          <w:bCs/>
          <w:color w:val="auto"/>
          <w:sz w:val="32"/>
          <w:szCs w:val="32"/>
          <w:highlight w:val="none"/>
        </w:rPr>
        <w:t>%</w:t>
      </w:r>
      <w:r>
        <w:rPr>
          <w:rStyle w:val="16"/>
          <w:rFonts w:hint="eastAsia" w:ascii="Times New Roman" w:hAnsi="Times New Roman" w:eastAsia="仿宋"/>
          <w:b w:val="0"/>
          <w:bCs/>
          <w:color w:val="auto"/>
          <w:sz w:val="32"/>
          <w:szCs w:val="32"/>
          <w:highlight w:val="none"/>
        </w:rPr>
        <w:t>。</w:t>
      </w:r>
    </w:p>
    <w:p w14:paraId="03CC9723">
      <w:pPr>
        <w:pStyle w:val="2"/>
        <w:pageBreakBefore w:val="0"/>
        <w:kinsoku/>
        <w:wordWrap/>
        <w:overflowPunct/>
        <w:topLinePunct w:val="0"/>
        <w:bidi w:val="0"/>
        <w:spacing w:after="0" w:line="560" w:lineRule="exact"/>
        <w:ind w:left="0" w:leftChars="0" w:firstLine="964" w:firstLineChars="300"/>
        <w:rPr>
          <w:rFonts w:hint="eastAsia" w:ascii="Times New Roman" w:hAnsi="Times New Roman"/>
        </w:rPr>
      </w:pPr>
      <w:r>
        <w:rPr>
          <w:rFonts w:hint="eastAsia" w:ascii="Times New Roman" w:hAnsi="Times New Roman" w:eastAsia="仿宋"/>
          <w:b/>
          <w:bCs/>
          <w:color w:val="auto"/>
          <w:sz w:val="32"/>
          <w:szCs w:val="32"/>
          <w:highlight w:val="none"/>
        </w:rPr>
        <w:t>卫生健康</w:t>
      </w:r>
      <w:r>
        <w:rPr>
          <w:rStyle w:val="16"/>
          <w:rFonts w:hint="eastAsia" w:ascii="Times New Roman" w:hAnsi="Times New Roman" w:eastAsia="仿宋"/>
          <w:bCs/>
          <w:color w:val="auto"/>
          <w:sz w:val="32"/>
          <w:szCs w:val="32"/>
          <w:highlight w:val="none"/>
        </w:rPr>
        <w:t>（类）其他卫生健康支出（款）其他卫生健康支出（项）</w:t>
      </w:r>
      <w:r>
        <w:rPr>
          <w:rStyle w:val="16"/>
          <w:rFonts w:hint="eastAsia" w:ascii="Times New Roman" w:hAnsi="Times New Roman" w:eastAsia="仿宋"/>
          <w:bCs/>
          <w:color w:val="auto"/>
          <w:sz w:val="32"/>
          <w:szCs w:val="32"/>
          <w:highlight w:val="none"/>
          <w:lang w:eastAsia="zh-CN"/>
        </w:rPr>
        <w:t>：</w:t>
      </w:r>
      <w:r>
        <w:rPr>
          <w:rStyle w:val="16"/>
          <w:rFonts w:hint="eastAsia" w:ascii="Times New Roman" w:hAnsi="Times New Roman" w:eastAsia="仿宋"/>
          <w:b w:val="0"/>
          <w:bCs/>
          <w:color w:val="auto"/>
          <w:sz w:val="32"/>
          <w:szCs w:val="32"/>
          <w:highlight w:val="none"/>
        </w:rPr>
        <w:t>支出决算为314.56万元，完成预算</w:t>
      </w:r>
      <w:r>
        <w:rPr>
          <w:rStyle w:val="16"/>
          <w:rFonts w:hint="eastAsia" w:ascii="Times New Roman" w:hAnsi="Times New Roman" w:eastAsia="仿宋"/>
          <w:b w:val="0"/>
          <w:bCs/>
          <w:color w:val="auto"/>
          <w:sz w:val="32"/>
          <w:szCs w:val="32"/>
          <w:highlight w:val="none"/>
          <w:lang w:val="en-US" w:eastAsia="zh-CN"/>
        </w:rPr>
        <w:t>100</w:t>
      </w:r>
      <w:r>
        <w:rPr>
          <w:rStyle w:val="16"/>
          <w:rFonts w:ascii="Times New Roman" w:hAnsi="Times New Roman" w:eastAsia="仿宋"/>
          <w:b w:val="0"/>
          <w:bCs/>
          <w:color w:val="auto"/>
          <w:sz w:val="32"/>
          <w:szCs w:val="32"/>
          <w:highlight w:val="none"/>
        </w:rPr>
        <w:t>%</w:t>
      </w:r>
      <w:r>
        <w:rPr>
          <w:rStyle w:val="16"/>
          <w:rFonts w:hint="eastAsia" w:ascii="Times New Roman" w:hAnsi="Times New Roman" w:eastAsia="仿宋"/>
          <w:b w:val="0"/>
          <w:bCs/>
          <w:color w:val="auto"/>
          <w:sz w:val="32"/>
          <w:szCs w:val="32"/>
          <w:highlight w:val="none"/>
        </w:rPr>
        <w:t>。</w:t>
      </w:r>
    </w:p>
    <w:p w14:paraId="5D68A56E">
      <w:pPr>
        <w:keepNext w:val="0"/>
        <w:keepLines w:val="0"/>
        <w:pageBreakBefore w:val="0"/>
        <w:tabs>
          <w:tab w:val="right" w:pos="8306"/>
        </w:tabs>
        <w:kinsoku/>
        <w:wordWrap/>
        <w:overflowPunct/>
        <w:topLinePunct w:val="0"/>
        <w:bidi w:val="0"/>
        <w:snapToGrid/>
        <w:spacing w:line="560" w:lineRule="exact"/>
        <w:ind w:left="0" w:leftChars="0" w:right="0" w:firstLine="640" w:firstLineChars="200"/>
        <w:jc w:val="left"/>
        <w:outlineLvl w:val="1"/>
        <w:rPr>
          <w:rFonts w:hint="eastAsia" w:ascii="Times New Roman" w:hAnsi="Times New Roman" w:eastAsia="黑体"/>
          <w:color w:val="auto"/>
          <w:sz w:val="32"/>
          <w:szCs w:val="32"/>
          <w:highlight w:val="none"/>
        </w:rPr>
      </w:pPr>
    </w:p>
    <w:p w14:paraId="5394574C">
      <w:pPr>
        <w:keepNext w:val="0"/>
        <w:keepLines w:val="0"/>
        <w:pageBreakBefore w:val="0"/>
        <w:tabs>
          <w:tab w:val="right" w:pos="8306"/>
        </w:tabs>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color w:val="auto"/>
          <w:highlight w:val="none"/>
        </w:rPr>
      </w:pPr>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20"/>
          <w:rFonts w:hint="eastAsia" w:ascii="Times New Roman" w:hAnsi="Times New Roman" w:eastAsia="黑体"/>
          <w:b w:val="0"/>
          <w:color w:val="auto"/>
          <w:highlight w:val="none"/>
        </w:rPr>
        <w:t>般公共预算财政拨款基本支出决算情况说明</w:t>
      </w:r>
      <w:r>
        <w:rPr>
          <w:rStyle w:val="20"/>
          <w:rFonts w:ascii="Times New Roman" w:hAnsi="Times New Roman" w:eastAsia="黑体"/>
          <w:b w:val="0"/>
          <w:color w:val="auto"/>
          <w:highlight w:val="none"/>
        </w:rPr>
        <w:tab/>
      </w:r>
    </w:p>
    <w:p w14:paraId="63E23C9F">
      <w:pPr>
        <w:keepNext w:val="0"/>
        <w:keepLines w:val="0"/>
        <w:pageBreakBefore w:val="0"/>
        <w:kinsoku/>
        <w:wordWrap/>
        <w:overflowPunct/>
        <w:topLinePunct w:val="0"/>
        <w:bidi w:val="0"/>
        <w:snapToGrid/>
        <w:spacing w:line="560" w:lineRule="exact"/>
        <w:ind w:left="0" w:leftChars="0" w:right="0" w:firstLine="640" w:firstLineChars="200"/>
        <w:jc w:val="left"/>
        <w:rPr>
          <w:rFonts w:ascii="Times New Roman" w:hAnsi="Times New Roman" w:eastAsia="仿宋"/>
          <w:color w:val="auto"/>
          <w:sz w:val="32"/>
          <w:szCs w:val="32"/>
          <w:highlight w:val="none"/>
        </w:rPr>
      </w:pPr>
      <w:r>
        <w:rPr>
          <w:rFonts w:hint="eastAsia" w:ascii="Times New Roman" w:hAnsi="Times New Roman" w:eastAsia="仿宋"/>
          <w:color w:val="auto"/>
          <w:sz w:val="32"/>
          <w:szCs w:val="32"/>
          <w:highlight w:val="none"/>
          <w:lang w:eastAsia="zh-CN"/>
        </w:rPr>
        <w:t>2023</w:t>
      </w:r>
      <w:r>
        <w:rPr>
          <w:rFonts w:hint="eastAsia" w:ascii="Times New Roman" w:hAnsi="Times New Roman" w:eastAsia="仿宋"/>
          <w:color w:val="auto"/>
          <w:sz w:val="32"/>
          <w:szCs w:val="32"/>
          <w:highlight w:val="none"/>
        </w:rPr>
        <w:t>年</w:t>
      </w:r>
      <w:r>
        <w:rPr>
          <w:rFonts w:hint="eastAsia" w:ascii="Times New Roman" w:hAnsi="Times New Roman" w:eastAsia="仿宋"/>
          <w:color w:val="auto"/>
          <w:sz w:val="32"/>
          <w:szCs w:val="32"/>
          <w:highlight w:val="none"/>
          <w:lang w:eastAsia="zh-CN"/>
        </w:rPr>
        <w:t>度</w:t>
      </w:r>
      <w:r>
        <w:rPr>
          <w:rFonts w:hint="eastAsia" w:ascii="Times New Roman" w:hAnsi="Times New Roman" w:eastAsia="仿宋"/>
          <w:color w:val="auto"/>
          <w:sz w:val="32"/>
          <w:szCs w:val="32"/>
          <w:highlight w:val="none"/>
        </w:rPr>
        <w:t>一般公共预算财政拨款基本支出25451.06万元，其中：</w:t>
      </w:r>
    </w:p>
    <w:p w14:paraId="6E844F1D">
      <w:pPr>
        <w:pageBreakBefore w:val="0"/>
        <w:kinsoku/>
        <w:wordWrap/>
        <w:overflowPunct/>
        <w:topLinePunct w:val="0"/>
        <w:bidi w:val="0"/>
        <w:spacing w:line="560" w:lineRule="exact"/>
        <w:ind w:left="0" w:leftChars="0" w:firstLine="645"/>
        <w:jc w:val="both"/>
        <w:rPr>
          <w:rFonts w:hint="eastAsia" w:ascii="Times New Roman" w:hAnsi="Times New Roman" w:eastAsia="仿宋"/>
          <w:color w:val="auto"/>
          <w:sz w:val="32"/>
          <w:szCs w:val="32"/>
          <w:highlight w:val="none"/>
          <w:lang w:eastAsia="zh-CN"/>
        </w:rPr>
      </w:pPr>
      <w:r>
        <w:rPr>
          <w:rFonts w:hint="eastAsia" w:ascii="Times New Roman" w:hAnsi="Times New Roman" w:eastAsia="仿宋"/>
          <w:color w:val="auto"/>
          <w:sz w:val="32"/>
          <w:szCs w:val="32"/>
          <w:highlight w:val="none"/>
        </w:rPr>
        <w:t>人员经费</w:t>
      </w:r>
      <w:r>
        <w:rPr>
          <w:rFonts w:hint="eastAsia" w:ascii="Times New Roman" w:hAnsi="Times New Roman" w:eastAsia="仿宋"/>
          <w:color w:val="auto"/>
          <w:sz w:val="32"/>
          <w:szCs w:val="32"/>
          <w:highlight w:val="none"/>
          <w:lang w:val="en-US" w:eastAsia="zh-CN"/>
        </w:rPr>
        <w:t>19857.06</w:t>
      </w:r>
      <w:r>
        <w:rPr>
          <w:rFonts w:hint="eastAsia" w:ascii="Times New Roman" w:hAnsi="Times New Roman" w:eastAsia="仿宋"/>
          <w:color w:val="auto"/>
          <w:sz w:val="32"/>
          <w:szCs w:val="32"/>
          <w:highlight w:val="none"/>
        </w:rPr>
        <w:t>万元，主要包括：基本工资</w:t>
      </w:r>
      <w:r>
        <w:rPr>
          <w:rFonts w:hint="eastAsia" w:ascii="Times New Roman" w:hAnsi="Times New Roman" w:eastAsia="仿宋"/>
          <w:color w:val="auto"/>
          <w:sz w:val="32"/>
          <w:szCs w:val="32"/>
          <w:highlight w:val="none"/>
          <w:lang w:val="en-US" w:eastAsia="zh-CN"/>
        </w:rPr>
        <w:t>4200万元</w:t>
      </w:r>
      <w:r>
        <w:rPr>
          <w:rFonts w:hint="eastAsia" w:ascii="Times New Roman" w:hAnsi="Times New Roman" w:eastAsia="仿宋"/>
          <w:color w:val="auto"/>
          <w:sz w:val="32"/>
          <w:szCs w:val="32"/>
          <w:highlight w:val="none"/>
        </w:rPr>
        <w:t>、津贴补贴</w:t>
      </w:r>
      <w:r>
        <w:rPr>
          <w:rFonts w:hint="eastAsia" w:ascii="Times New Roman" w:hAnsi="Times New Roman" w:eastAsia="仿宋"/>
          <w:color w:val="auto"/>
          <w:sz w:val="32"/>
          <w:szCs w:val="32"/>
          <w:highlight w:val="none"/>
          <w:lang w:val="en-US" w:eastAsia="zh-CN"/>
        </w:rPr>
        <w:t>80万元</w:t>
      </w:r>
      <w:r>
        <w:rPr>
          <w:rFonts w:hint="eastAsia" w:ascii="Times New Roman" w:hAnsi="Times New Roman" w:eastAsia="仿宋"/>
          <w:color w:val="auto"/>
          <w:sz w:val="32"/>
          <w:szCs w:val="32"/>
          <w:highlight w:val="none"/>
        </w:rPr>
        <w:t>、绩效工资</w:t>
      </w:r>
      <w:r>
        <w:rPr>
          <w:rFonts w:hint="eastAsia" w:ascii="Times New Roman" w:hAnsi="Times New Roman" w:eastAsia="仿宋"/>
          <w:color w:val="auto"/>
          <w:sz w:val="32"/>
          <w:szCs w:val="32"/>
          <w:highlight w:val="none"/>
          <w:lang w:val="en-US" w:eastAsia="zh-CN"/>
        </w:rPr>
        <w:t>7000万元</w:t>
      </w:r>
      <w:r>
        <w:rPr>
          <w:rFonts w:hint="eastAsia" w:ascii="Times New Roman" w:hAnsi="Times New Roman" w:eastAsia="仿宋"/>
          <w:color w:val="auto"/>
          <w:sz w:val="32"/>
          <w:szCs w:val="32"/>
          <w:highlight w:val="none"/>
        </w:rPr>
        <w:t>、机关事业单位基本养老保险缴费</w:t>
      </w:r>
      <w:r>
        <w:rPr>
          <w:rFonts w:hint="eastAsia" w:ascii="Times New Roman" w:hAnsi="Times New Roman" w:eastAsia="仿宋"/>
          <w:color w:val="auto"/>
          <w:sz w:val="32"/>
          <w:szCs w:val="32"/>
          <w:highlight w:val="none"/>
          <w:lang w:val="en-US" w:eastAsia="zh-CN"/>
        </w:rPr>
        <w:t>1400万元</w:t>
      </w:r>
      <w:r>
        <w:rPr>
          <w:rFonts w:hint="eastAsia" w:ascii="Times New Roman" w:hAnsi="Times New Roman" w:eastAsia="仿宋"/>
          <w:color w:val="auto"/>
          <w:sz w:val="32"/>
          <w:szCs w:val="32"/>
          <w:highlight w:val="none"/>
        </w:rPr>
        <w:t>、职业年金缴费</w:t>
      </w:r>
      <w:r>
        <w:rPr>
          <w:rFonts w:hint="eastAsia" w:ascii="Times New Roman" w:hAnsi="Times New Roman" w:eastAsia="仿宋"/>
          <w:color w:val="auto"/>
          <w:sz w:val="32"/>
          <w:szCs w:val="32"/>
          <w:highlight w:val="none"/>
          <w:lang w:val="en-US" w:eastAsia="zh-CN"/>
        </w:rPr>
        <w:t>700万元</w:t>
      </w:r>
      <w:r>
        <w:rPr>
          <w:rFonts w:hint="eastAsia" w:ascii="Times New Roman" w:hAnsi="Times New Roman" w:eastAsia="仿宋"/>
          <w:color w:val="auto"/>
          <w:sz w:val="32"/>
          <w:szCs w:val="32"/>
          <w:highlight w:val="none"/>
        </w:rPr>
        <w:t>、职工基本医疗保险缴费</w:t>
      </w:r>
      <w:r>
        <w:rPr>
          <w:rFonts w:hint="eastAsia" w:ascii="Times New Roman" w:hAnsi="Times New Roman" w:eastAsia="仿宋"/>
          <w:color w:val="auto"/>
          <w:sz w:val="32"/>
          <w:szCs w:val="32"/>
          <w:highlight w:val="none"/>
          <w:lang w:val="en-US" w:eastAsia="zh-CN"/>
        </w:rPr>
        <w:t>1050万元</w:t>
      </w:r>
      <w:r>
        <w:rPr>
          <w:rFonts w:hint="eastAsia" w:ascii="Times New Roman" w:hAnsi="Times New Roman" w:eastAsia="仿宋"/>
          <w:color w:val="auto"/>
          <w:sz w:val="32"/>
          <w:szCs w:val="32"/>
          <w:highlight w:val="none"/>
        </w:rPr>
        <w:t>、其他社会保障缴费</w:t>
      </w:r>
      <w:r>
        <w:rPr>
          <w:rFonts w:hint="eastAsia" w:ascii="Times New Roman" w:hAnsi="Times New Roman" w:eastAsia="仿宋"/>
          <w:color w:val="auto"/>
          <w:sz w:val="32"/>
          <w:szCs w:val="32"/>
          <w:highlight w:val="none"/>
          <w:lang w:val="en-US" w:eastAsia="zh-CN"/>
        </w:rPr>
        <w:t>400</w:t>
      </w:r>
      <w:r>
        <w:rPr>
          <w:rFonts w:hint="eastAsia" w:ascii="Times New Roman" w:hAnsi="Times New Roman" w:eastAsia="仿宋"/>
          <w:color w:val="auto"/>
          <w:sz w:val="32"/>
          <w:szCs w:val="32"/>
          <w:highlight w:val="none"/>
        </w:rPr>
        <w:t>万元、住房公积金</w:t>
      </w:r>
      <w:r>
        <w:rPr>
          <w:rFonts w:hint="eastAsia" w:ascii="Times New Roman" w:hAnsi="Times New Roman" w:eastAsia="仿宋"/>
          <w:color w:val="auto"/>
          <w:sz w:val="32"/>
          <w:szCs w:val="32"/>
          <w:highlight w:val="none"/>
          <w:lang w:val="en-US" w:eastAsia="zh-CN"/>
        </w:rPr>
        <w:t>1750</w:t>
      </w:r>
      <w:r>
        <w:rPr>
          <w:rFonts w:hint="eastAsia" w:ascii="Times New Roman" w:hAnsi="Times New Roman" w:eastAsia="仿宋"/>
          <w:color w:val="auto"/>
          <w:sz w:val="32"/>
          <w:szCs w:val="32"/>
          <w:highlight w:val="none"/>
        </w:rPr>
        <w:t>万元、其他工资福利支出</w:t>
      </w:r>
      <w:r>
        <w:rPr>
          <w:rFonts w:hint="eastAsia" w:ascii="Times New Roman" w:hAnsi="Times New Roman" w:eastAsia="仿宋"/>
          <w:color w:val="auto"/>
          <w:sz w:val="32"/>
          <w:szCs w:val="32"/>
          <w:highlight w:val="none"/>
          <w:lang w:val="en-US" w:eastAsia="zh-CN"/>
        </w:rPr>
        <w:t>2850</w:t>
      </w:r>
      <w:r>
        <w:rPr>
          <w:rFonts w:hint="eastAsia" w:ascii="Times New Roman" w:hAnsi="Times New Roman" w:eastAsia="仿宋"/>
          <w:color w:val="auto"/>
          <w:sz w:val="32"/>
          <w:szCs w:val="32"/>
          <w:highlight w:val="none"/>
        </w:rPr>
        <w:t>万元、</w:t>
      </w:r>
      <w:r>
        <w:rPr>
          <w:rFonts w:hint="eastAsia" w:ascii="Times New Roman" w:hAnsi="Times New Roman" w:eastAsia="仿宋"/>
          <w:color w:val="auto"/>
          <w:sz w:val="32"/>
          <w:szCs w:val="32"/>
          <w:highlight w:val="none"/>
          <w:lang w:val="en-US" w:eastAsia="zh-CN"/>
        </w:rPr>
        <w:t>离休费5万元、</w:t>
      </w:r>
      <w:r>
        <w:rPr>
          <w:rFonts w:hint="eastAsia" w:ascii="Times New Roman" w:hAnsi="Times New Roman" w:eastAsia="仿宋"/>
          <w:color w:val="auto"/>
          <w:sz w:val="32"/>
          <w:szCs w:val="32"/>
          <w:highlight w:val="none"/>
        </w:rPr>
        <w:t>助学金</w:t>
      </w:r>
      <w:r>
        <w:rPr>
          <w:rFonts w:hint="eastAsia" w:ascii="Times New Roman" w:hAnsi="Times New Roman" w:eastAsia="仿宋"/>
          <w:color w:val="auto"/>
          <w:sz w:val="32"/>
          <w:szCs w:val="32"/>
          <w:highlight w:val="none"/>
          <w:lang w:val="en-US" w:eastAsia="zh-CN"/>
        </w:rPr>
        <w:t>10</w:t>
      </w:r>
      <w:r>
        <w:rPr>
          <w:rFonts w:hint="eastAsia" w:ascii="Times New Roman" w:hAnsi="Times New Roman" w:eastAsia="仿宋"/>
          <w:color w:val="auto"/>
          <w:sz w:val="32"/>
          <w:szCs w:val="32"/>
          <w:highlight w:val="none"/>
        </w:rPr>
        <w:t>万元、其他对个人和家庭的补助支出</w:t>
      </w:r>
      <w:r>
        <w:rPr>
          <w:rFonts w:hint="eastAsia" w:ascii="Times New Roman" w:hAnsi="Times New Roman" w:eastAsia="仿宋"/>
          <w:color w:val="auto"/>
          <w:sz w:val="32"/>
          <w:szCs w:val="32"/>
          <w:highlight w:val="none"/>
          <w:lang w:val="en-US" w:eastAsia="zh-CN"/>
        </w:rPr>
        <w:t>412.06</w:t>
      </w:r>
      <w:r>
        <w:rPr>
          <w:rFonts w:hint="eastAsia" w:ascii="Times New Roman" w:hAnsi="Times New Roman" w:eastAsia="仿宋"/>
          <w:color w:val="auto"/>
          <w:sz w:val="32"/>
          <w:szCs w:val="32"/>
          <w:highlight w:val="none"/>
        </w:rPr>
        <w:t>万元。</w:t>
      </w:r>
    </w:p>
    <w:p w14:paraId="0013D8C2">
      <w:pPr>
        <w:keepNext w:val="0"/>
        <w:keepLines w:val="0"/>
        <w:pageBreakBefore w:val="0"/>
        <w:kinsoku/>
        <w:wordWrap/>
        <w:overflowPunct/>
        <w:topLinePunct w:val="0"/>
        <w:bidi w:val="0"/>
        <w:snapToGrid/>
        <w:spacing w:line="560" w:lineRule="exact"/>
        <w:ind w:left="0" w:leftChars="0" w:right="0" w:firstLine="640" w:firstLineChars="200"/>
        <w:jc w:val="both"/>
        <w:rPr>
          <w:rFonts w:ascii="Times New Roman" w:hAnsi="Times New Roman" w:eastAsia="仿宋"/>
          <w:b/>
          <w:color w:val="auto"/>
          <w:sz w:val="32"/>
          <w:szCs w:val="32"/>
          <w:highlight w:val="none"/>
        </w:rPr>
      </w:pPr>
      <w:r>
        <w:rPr>
          <w:rFonts w:hint="eastAsia" w:ascii="Times New Roman" w:hAnsi="Times New Roman" w:eastAsia="仿宋"/>
          <w:color w:val="auto"/>
          <w:sz w:val="32"/>
          <w:szCs w:val="32"/>
          <w:highlight w:val="none"/>
        </w:rPr>
        <w:t>公用经费</w:t>
      </w:r>
      <w:r>
        <w:rPr>
          <w:rFonts w:hint="eastAsia" w:ascii="Times New Roman" w:hAnsi="Times New Roman" w:eastAsia="仿宋"/>
          <w:color w:val="auto"/>
          <w:sz w:val="32"/>
          <w:szCs w:val="32"/>
          <w:highlight w:val="none"/>
          <w:lang w:val="en-US" w:eastAsia="zh-CN"/>
        </w:rPr>
        <w:t>5594</w:t>
      </w:r>
      <w:r>
        <w:rPr>
          <w:rFonts w:hint="eastAsia" w:ascii="Times New Roman" w:hAnsi="Times New Roman" w:eastAsia="仿宋"/>
          <w:color w:val="auto"/>
          <w:sz w:val="32"/>
          <w:szCs w:val="32"/>
          <w:highlight w:val="none"/>
        </w:rPr>
        <w:t>万元，主要包括：办公费</w:t>
      </w:r>
      <w:r>
        <w:rPr>
          <w:rFonts w:hint="eastAsia" w:ascii="Times New Roman" w:hAnsi="Times New Roman" w:eastAsia="仿宋"/>
          <w:color w:val="auto"/>
          <w:sz w:val="32"/>
          <w:szCs w:val="32"/>
          <w:highlight w:val="none"/>
          <w:lang w:val="en-US" w:eastAsia="zh-CN"/>
        </w:rPr>
        <w:t>100万元</w:t>
      </w:r>
      <w:r>
        <w:rPr>
          <w:rFonts w:hint="eastAsia" w:ascii="Times New Roman" w:hAnsi="Times New Roman" w:eastAsia="仿宋"/>
          <w:color w:val="auto"/>
          <w:sz w:val="32"/>
          <w:szCs w:val="32"/>
          <w:highlight w:val="none"/>
        </w:rPr>
        <w:t>、水费</w:t>
      </w:r>
      <w:r>
        <w:rPr>
          <w:rFonts w:hint="eastAsia" w:ascii="Times New Roman" w:hAnsi="Times New Roman" w:eastAsia="仿宋"/>
          <w:color w:val="auto"/>
          <w:sz w:val="32"/>
          <w:szCs w:val="32"/>
          <w:highlight w:val="none"/>
          <w:lang w:val="en-US" w:eastAsia="zh-CN"/>
        </w:rPr>
        <w:t>400万元</w:t>
      </w:r>
      <w:r>
        <w:rPr>
          <w:rFonts w:hint="eastAsia" w:ascii="Times New Roman" w:hAnsi="Times New Roman" w:eastAsia="仿宋"/>
          <w:color w:val="auto"/>
          <w:sz w:val="32"/>
          <w:szCs w:val="32"/>
          <w:highlight w:val="none"/>
        </w:rPr>
        <w:t>、电费</w:t>
      </w:r>
      <w:r>
        <w:rPr>
          <w:rFonts w:hint="eastAsia" w:ascii="Times New Roman" w:hAnsi="Times New Roman" w:eastAsia="仿宋"/>
          <w:color w:val="auto"/>
          <w:sz w:val="32"/>
          <w:szCs w:val="32"/>
          <w:highlight w:val="none"/>
          <w:lang w:val="en-US" w:eastAsia="zh-CN"/>
        </w:rPr>
        <w:t>450万元</w:t>
      </w:r>
      <w:r>
        <w:rPr>
          <w:rFonts w:hint="eastAsia" w:ascii="Times New Roman" w:hAnsi="Times New Roman" w:eastAsia="仿宋"/>
          <w:color w:val="auto"/>
          <w:sz w:val="32"/>
          <w:szCs w:val="32"/>
          <w:highlight w:val="none"/>
        </w:rPr>
        <w:t>、物业管理费</w:t>
      </w:r>
      <w:r>
        <w:rPr>
          <w:rFonts w:hint="eastAsia" w:ascii="Times New Roman" w:hAnsi="Times New Roman" w:eastAsia="仿宋"/>
          <w:color w:val="auto"/>
          <w:sz w:val="32"/>
          <w:szCs w:val="32"/>
          <w:highlight w:val="none"/>
          <w:lang w:val="en-US" w:eastAsia="zh-CN"/>
        </w:rPr>
        <w:t>150万元</w:t>
      </w:r>
      <w:r>
        <w:rPr>
          <w:rFonts w:hint="eastAsia" w:ascii="Times New Roman" w:hAnsi="Times New Roman" w:eastAsia="仿宋"/>
          <w:color w:val="auto"/>
          <w:sz w:val="32"/>
          <w:szCs w:val="32"/>
          <w:highlight w:val="none"/>
        </w:rPr>
        <w:t>、差旅费</w:t>
      </w:r>
      <w:r>
        <w:rPr>
          <w:rFonts w:hint="eastAsia" w:ascii="Times New Roman" w:hAnsi="Times New Roman" w:eastAsia="仿宋"/>
          <w:color w:val="auto"/>
          <w:sz w:val="32"/>
          <w:szCs w:val="32"/>
          <w:highlight w:val="none"/>
          <w:lang w:val="en-US" w:eastAsia="zh-CN"/>
        </w:rPr>
        <w:t>50万元</w:t>
      </w:r>
      <w:r>
        <w:rPr>
          <w:rFonts w:hint="eastAsia" w:ascii="Times New Roman" w:hAnsi="Times New Roman" w:eastAsia="仿宋"/>
          <w:color w:val="auto"/>
          <w:sz w:val="32"/>
          <w:szCs w:val="32"/>
          <w:highlight w:val="none"/>
        </w:rPr>
        <w:t>、培训费</w:t>
      </w:r>
      <w:r>
        <w:rPr>
          <w:rFonts w:hint="eastAsia" w:ascii="Times New Roman" w:hAnsi="Times New Roman" w:eastAsia="仿宋"/>
          <w:color w:val="auto"/>
          <w:sz w:val="32"/>
          <w:szCs w:val="32"/>
          <w:highlight w:val="none"/>
          <w:lang w:val="en-US" w:eastAsia="zh-CN"/>
        </w:rPr>
        <w:t>50万元</w:t>
      </w:r>
      <w:r>
        <w:rPr>
          <w:rFonts w:hint="eastAsia" w:ascii="Times New Roman" w:hAnsi="Times New Roman" w:eastAsia="仿宋"/>
          <w:color w:val="auto"/>
          <w:sz w:val="32"/>
          <w:szCs w:val="32"/>
          <w:highlight w:val="none"/>
        </w:rPr>
        <w:t>、劳务费</w:t>
      </w:r>
      <w:r>
        <w:rPr>
          <w:rFonts w:hint="eastAsia" w:ascii="Times New Roman" w:hAnsi="Times New Roman" w:eastAsia="仿宋"/>
          <w:color w:val="auto"/>
          <w:sz w:val="32"/>
          <w:szCs w:val="32"/>
          <w:highlight w:val="none"/>
          <w:lang w:val="en-US" w:eastAsia="zh-CN"/>
        </w:rPr>
        <w:t>300万元</w:t>
      </w:r>
      <w:r>
        <w:rPr>
          <w:rFonts w:hint="eastAsia" w:ascii="Times New Roman" w:hAnsi="Times New Roman" w:eastAsia="仿宋"/>
          <w:color w:val="auto"/>
          <w:sz w:val="32"/>
          <w:szCs w:val="32"/>
          <w:highlight w:val="none"/>
        </w:rPr>
        <w:t>、工会经费</w:t>
      </w:r>
      <w:r>
        <w:rPr>
          <w:rFonts w:hint="eastAsia" w:ascii="Times New Roman" w:hAnsi="Times New Roman" w:eastAsia="仿宋"/>
          <w:color w:val="auto"/>
          <w:sz w:val="32"/>
          <w:szCs w:val="32"/>
          <w:highlight w:val="none"/>
          <w:lang w:val="en-US" w:eastAsia="zh-CN"/>
        </w:rPr>
        <w:t>180万元</w:t>
      </w:r>
      <w:r>
        <w:rPr>
          <w:rFonts w:hint="eastAsia" w:ascii="Times New Roman" w:hAnsi="Times New Roman" w:eastAsia="仿宋"/>
          <w:color w:val="auto"/>
          <w:sz w:val="32"/>
          <w:szCs w:val="32"/>
          <w:highlight w:val="none"/>
        </w:rPr>
        <w:t>、福利费</w:t>
      </w:r>
      <w:r>
        <w:rPr>
          <w:rFonts w:hint="eastAsia" w:ascii="Times New Roman" w:hAnsi="Times New Roman" w:eastAsia="仿宋"/>
          <w:color w:val="auto"/>
          <w:sz w:val="32"/>
          <w:szCs w:val="32"/>
          <w:highlight w:val="none"/>
          <w:lang w:val="en-US" w:eastAsia="zh-CN"/>
        </w:rPr>
        <w:t>150万元</w:t>
      </w:r>
      <w:r>
        <w:rPr>
          <w:rFonts w:hint="eastAsia" w:ascii="Times New Roman" w:hAnsi="Times New Roman" w:eastAsia="仿宋"/>
          <w:color w:val="auto"/>
          <w:sz w:val="32"/>
          <w:szCs w:val="32"/>
          <w:highlight w:val="none"/>
        </w:rPr>
        <w:t>、其他商品和服务支出</w:t>
      </w:r>
      <w:r>
        <w:rPr>
          <w:rFonts w:hint="eastAsia" w:ascii="Times New Roman" w:hAnsi="Times New Roman" w:eastAsia="仿宋"/>
          <w:color w:val="auto"/>
          <w:sz w:val="32"/>
          <w:szCs w:val="32"/>
          <w:highlight w:val="none"/>
          <w:lang w:val="en-US" w:eastAsia="zh-CN"/>
        </w:rPr>
        <w:t>3764万元。</w:t>
      </w:r>
    </w:p>
    <w:p w14:paraId="59732A3A">
      <w:pPr>
        <w:keepNext w:val="0"/>
        <w:keepLines w:val="0"/>
        <w:pageBreakBefore w:val="0"/>
        <w:kinsoku/>
        <w:wordWrap/>
        <w:overflowPunct/>
        <w:topLinePunct w:val="0"/>
        <w:bidi w:val="0"/>
        <w:snapToGrid/>
        <w:spacing w:line="560" w:lineRule="exact"/>
        <w:ind w:left="0" w:leftChars="0" w:right="0" w:firstLine="640" w:firstLineChars="200"/>
        <w:jc w:val="left"/>
        <w:outlineLvl w:val="1"/>
        <w:rPr>
          <w:rFonts w:hint="eastAsia" w:ascii="Times New Roman" w:hAnsi="Times New Roman" w:eastAsia="黑体"/>
          <w:color w:val="auto"/>
          <w:sz w:val="32"/>
          <w:szCs w:val="32"/>
          <w:highlight w:val="none"/>
        </w:rPr>
      </w:pPr>
    </w:p>
    <w:p w14:paraId="2EAAE727">
      <w:pPr>
        <w:keepNext w:val="0"/>
        <w:keepLines w:val="0"/>
        <w:pageBreakBefore w:val="0"/>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eastAsia="黑体"/>
          <w:b w:val="0"/>
          <w:color w:val="auto"/>
          <w:highlight w:val="none"/>
        </w:rPr>
      </w:pPr>
      <w:r>
        <w:rPr>
          <w:rFonts w:hint="eastAsia" w:ascii="Times New Roman" w:hAnsi="Times New Roman" w:eastAsia="黑体"/>
          <w:color w:val="auto"/>
          <w:sz w:val="32"/>
          <w:szCs w:val="32"/>
          <w:highlight w:val="none"/>
        </w:rPr>
        <w:t>七、</w:t>
      </w:r>
      <w:r>
        <w:rPr>
          <w:rStyle w:val="20"/>
          <w:rFonts w:hint="eastAsia" w:ascii="Times New Roman" w:hAnsi="Times New Roman" w:eastAsia="黑体"/>
          <w:b w:val="0"/>
          <w:color w:val="auto"/>
          <w:highlight w:val="none"/>
        </w:rPr>
        <w:t>财政拨款</w:t>
      </w:r>
      <w:r>
        <w:rPr>
          <w:rStyle w:val="20"/>
          <w:rFonts w:hint="eastAsia" w:ascii="Times New Roman" w:hAnsi="Times New Roman" w:eastAsia="黑体"/>
          <w:color w:val="auto"/>
          <w:highlight w:val="none"/>
        </w:rPr>
        <w:t>“</w:t>
      </w:r>
      <w:r>
        <w:rPr>
          <w:rStyle w:val="20"/>
          <w:rFonts w:hint="eastAsia" w:ascii="Times New Roman" w:hAnsi="Times New Roman" w:eastAsia="黑体"/>
          <w:b w:val="0"/>
          <w:color w:val="auto"/>
          <w:highlight w:val="none"/>
        </w:rPr>
        <w:t>三公”经费支出决算情况说明</w:t>
      </w:r>
    </w:p>
    <w:p w14:paraId="38B3D716">
      <w:pPr>
        <w:keepNext w:val="0"/>
        <w:keepLines w:val="0"/>
        <w:pageBreakBefore w:val="0"/>
        <w:kinsoku/>
        <w:wordWrap/>
        <w:overflowPunct/>
        <w:topLinePunct w:val="0"/>
        <w:bidi w:val="0"/>
        <w:snapToGrid/>
        <w:spacing w:line="560" w:lineRule="exact"/>
        <w:ind w:left="0" w:leftChars="0" w:right="0" w:firstLine="643" w:firstLineChars="200"/>
        <w:jc w:val="left"/>
        <w:outlineLvl w:val="2"/>
        <w:rPr>
          <w:rFonts w:ascii="Times New Roman" w:hAnsi="Times New Roman" w:eastAsia="仿宋"/>
          <w:b/>
          <w:color w:val="auto"/>
          <w:sz w:val="32"/>
          <w:szCs w:val="32"/>
          <w:highlight w:val="none"/>
        </w:rPr>
      </w:pPr>
      <w:r>
        <w:rPr>
          <w:rFonts w:hint="eastAsia" w:ascii="Times New Roman" w:hAnsi="Times New Roman" w:eastAsia="仿宋"/>
          <w:b/>
          <w:color w:val="auto"/>
          <w:sz w:val="32"/>
          <w:szCs w:val="32"/>
          <w:highlight w:val="none"/>
        </w:rPr>
        <w:t>（一）“三公”经费财政拨款支出决算总体情况说明</w:t>
      </w:r>
    </w:p>
    <w:p w14:paraId="006A6707">
      <w:pPr>
        <w:pageBreakBefore w:val="0"/>
        <w:kinsoku/>
        <w:wordWrap/>
        <w:overflowPunct/>
        <w:topLinePunct w:val="0"/>
        <w:bidi w:val="0"/>
        <w:spacing w:line="560" w:lineRule="exact"/>
        <w:ind w:left="0" w:leftChars="0" w:firstLine="640"/>
        <w:rPr>
          <w:rFonts w:ascii="Times New Roman" w:hAnsi="Times New Roman" w:eastAsia="仿宋"/>
          <w:sz w:val="32"/>
          <w:szCs w:val="32"/>
        </w:rPr>
      </w:pPr>
      <w:r>
        <w:rPr>
          <w:rFonts w:ascii="Times New Roman" w:hAnsi="Times New Roman" w:eastAsia="仿宋"/>
          <w:sz w:val="32"/>
          <w:szCs w:val="32"/>
        </w:rPr>
        <w:t>20</w:t>
      </w:r>
      <w:r>
        <w:rPr>
          <w:rFonts w:hint="eastAsia" w:ascii="Times New Roman" w:hAnsi="Times New Roman" w:eastAsia="仿宋"/>
          <w:sz w:val="32"/>
          <w:szCs w:val="32"/>
        </w:rPr>
        <w:t>2</w:t>
      </w:r>
      <w:r>
        <w:rPr>
          <w:rFonts w:hint="eastAsia" w:ascii="Times New Roman" w:hAnsi="Times New Roman" w:eastAsia="仿宋"/>
          <w:sz w:val="32"/>
          <w:szCs w:val="32"/>
          <w:lang w:val="en-US" w:eastAsia="zh-CN"/>
        </w:rPr>
        <w:t>3年度</w:t>
      </w:r>
      <w:r>
        <w:rPr>
          <w:rFonts w:hint="eastAsia" w:ascii="Times New Roman" w:hAnsi="Times New Roman" w:eastAsia="仿宋"/>
          <w:sz w:val="32"/>
          <w:szCs w:val="32"/>
        </w:rPr>
        <w:t>“三公”经费财政拨款支出决算为0万元</w:t>
      </w:r>
      <w:r>
        <w:rPr>
          <w:rFonts w:hint="eastAsia" w:ascii="Times New Roman" w:hAnsi="Times New Roman" w:eastAsia="仿宋"/>
          <w:sz w:val="32"/>
          <w:szCs w:val="32"/>
          <w:lang w:eastAsia="zh-CN"/>
        </w:rPr>
        <w:t>，年初无本项目预算，较上年度无增减变动</w:t>
      </w:r>
      <w:r>
        <w:rPr>
          <w:rFonts w:hint="eastAsia" w:ascii="Times New Roman" w:hAnsi="Times New Roman" w:eastAsia="仿宋"/>
          <w:sz w:val="32"/>
          <w:szCs w:val="32"/>
        </w:rPr>
        <w:t>。</w:t>
      </w:r>
    </w:p>
    <w:p w14:paraId="59FDDCE3">
      <w:pPr>
        <w:keepNext w:val="0"/>
        <w:keepLines w:val="0"/>
        <w:pageBreakBefore w:val="0"/>
        <w:kinsoku/>
        <w:wordWrap/>
        <w:overflowPunct/>
        <w:topLinePunct w:val="0"/>
        <w:bidi w:val="0"/>
        <w:snapToGrid/>
        <w:spacing w:line="560" w:lineRule="exact"/>
        <w:ind w:left="0" w:leftChars="0" w:right="0" w:firstLine="643" w:firstLineChars="200"/>
        <w:jc w:val="left"/>
        <w:outlineLvl w:val="2"/>
        <w:rPr>
          <w:rFonts w:ascii="Times New Roman" w:hAnsi="Times New Roman" w:eastAsia="仿宋"/>
          <w:b/>
          <w:color w:val="auto"/>
          <w:sz w:val="32"/>
          <w:szCs w:val="32"/>
          <w:highlight w:val="none"/>
        </w:rPr>
      </w:pPr>
      <w:r>
        <w:rPr>
          <w:rFonts w:hint="eastAsia" w:ascii="Times New Roman" w:hAnsi="Times New Roman" w:eastAsia="仿宋"/>
          <w:b/>
          <w:color w:val="auto"/>
          <w:sz w:val="32"/>
          <w:szCs w:val="32"/>
          <w:highlight w:val="none"/>
        </w:rPr>
        <w:t>（二）“三公”经费财政拨款支出决算具体情况说明</w:t>
      </w:r>
    </w:p>
    <w:p w14:paraId="5446F241">
      <w:pPr>
        <w:pageBreakBefore w:val="0"/>
        <w:kinsoku/>
        <w:wordWrap/>
        <w:overflowPunct/>
        <w:topLinePunct w:val="0"/>
        <w:bidi w:val="0"/>
        <w:spacing w:line="560" w:lineRule="exact"/>
        <w:ind w:left="0" w:leftChars="0" w:firstLine="640"/>
        <w:rPr>
          <w:rFonts w:ascii="Times New Roman" w:hAnsi="Times New Roman" w:eastAsia="仿宋"/>
          <w:sz w:val="32"/>
          <w:szCs w:val="32"/>
        </w:rPr>
      </w:pPr>
      <w:r>
        <w:rPr>
          <w:rFonts w:ascii="Times New Roman" w:hAnsi="Times New Roman" w:eastAsia="仿宋"/>
          <w:sz w:val="32"/>
          <w:szCs w:val="32"/>
        </w:rPr>
        <w:t>20</w:t>
      </w:r>
      <w:r>
        <w:rPr>
          <w:rFonts w:hint="eastAsia" w:ascii="Times New Roman" w:hAnsi="Times New Roman" w:eastAsia="仿宋"/>
          <w:sz w:val="32"/>
          <w:szCs w:val="32"/>
        </w:rPr>
        <w:t>2</w:t>
      </w:r>
      <w:r>
        <w:rPr>
          <w:rFonts w:hint="eastAsia" w:ascii="Times New Roman" w:hAnsi="Times New Roman" w:eastAsia="仿宋"/>
          <w:sz w:val="32"/>
          <w:szCs w:val="32"/>
          <w:lang w:val="en-US" w:eastAsia="zh-CN"/>
        </w:rPr>
        <w:t>3年度</w:t>
      </w:r>
      <w:r>
        <w:rPr>
          <w:rFonts w:hint="eastAsia" w:ascii="Times New Roman" w:hAnsi="Times New Roman" w:eastAsia="仿宋"/>
          <w:sz w:val="32"/>
          <w:szCs w:val="32"/>
        </w:rPr>
        <w:t>“三公”经费财政拨款支出决算中，因公出国（境）费支出决算0万元；公务用车购置</w:t>
      </w:r>
      <w:r>
        <w:rPr>
          <w:rFonts w:hint="eastAsia" w:ascii="Times New Roman" w:hAnsi="Times New Roman" w:eastAsia="仿宋"/>
          <w:sz w:val="32"/>
          <w:szCs w:val="32"/>
          <w:lang w:val="en-US" w:eastAsia="zh-CN"/>
        </w:rPr>
        <w:t>费</w:t>
      </w:r>
      <w:r>
        <w:rPr>
          <w:rFonts w:hint="eastAsia" w:ascii="Times New Roman" w:hAnsi="Times New Roman" w:eastAsia="仿宋"/>
          <w:sz w:val="32"/>
          <w:szCs w:val="32"/>
        </w:rPr>
        <w:t>支出决算</w:t>
      </w:r>
      <w:r>
        <w:rPr>
          <w:rFonts w:hint="eastAsia" w:ascii="Times New Roman" w:hAnsi="Times New Roman" w:eastAsia="仿宋"/>
          <w:sz w:val="32"/>
          <w:szCs w:val="32"/>
          <w:lang w:val="en-US" w:eastAsia="zh-CN"/>
        </w:rPr>
        <w:t>0万元，公务用车</w:t>
      </w:r>
      <w:r>
        <w:rPr>
          <w:rFonts w:hint="eastAsia" w:ascii="Times New Roman" w:hAnsi="Times New Roman" w:eastAsia="仿宋"/>
          <w:sz w:val="32"/>
          <w:szCs w:val="32"/>
        </w:rPr>
        <w:t>运行维护费支出决算0万元；公务接待费支出决算0万元。</w:t>
      </w:r>
    </w:p>
    <w:p w14:paraId="768CA624">
      <w:pPr>
        <w:keepNext w:val="0"/>
        <w:keepLines w:val="0"/>
        <w:pageBreakBefore w:val="0"/>
        <w:kinsoku/>
        <w:wordWrap/>
        <w:overflowPunct/>
        <w:topLinePunct w:val="0"/>
        <w:bidi w:val="0"/>
        <w:snapToGrid/>
        <w:spacing w:line="560" w:lineRule="exact"/>
        <w:ind w:left="0" w:leftChars="0" w:right="0" w:firstLine="640" w:firstLineChars="200"/>
        <w:jc w:val="left"/>
        <w:outlineLvl w:val="1"/>
        <w:rPr>
          <w:rFonts w:ascii="Times New Roman" w:hAnsi="Times New Roman" w:eastAsia="黑体"/>
          <w:color w:val="auto"/>
          <w:sz w:val="32"/>
          <w:szCs w:val="32"/>
          <w:highlight w:val="none"/>
        </w:rPr>
      </w:pPr>
    </w:p>
    <w:p w14:paraId="10362E4A">
      <w:pPr>
        <w:keepNext w:val="0"/>
        <w:keepLines w:val="0"/>
        <w:pageBreakBefore w:val="0"/>
        <w:kinsoku/>
        <w:wordWrap/>
        <w:overflowPunct/>
        <w:topLinePunct w:val="0"/>
        <w:bidi w:val="0"/>
        <w:snapToGrid/>
        <w:spacing w:line="560" w:lineRule="exact"/>
        <w:ind w:left="0" w:leftChars="0" w:right="0" w:firstLine="640" w:firstLineChars="200"/>
        <w:jc w:val="left"/>
        <w:outlineLvl w:val="1"/>
        <w:rPr>
          <w:rStyle w:val="20"/>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20"/>
          <w:rFonts w:hint="eastAsia" w:ascii="Times New Roman" w:hAnsi="Times New Roman" w:eastAsia="黑体"/>
          <w:b w:val="0"/>
          <w:color w:val="auto"/>
          <w:highlight w:val="none"/>
        </w:rPr>
        <w:t>政府性基金预算支出决算情况说明</w:t>
      </w:r>
    </w:p>
    <w:p w14:paraId="2FADC246">
      <w:pPr>
        <w:keepNext w:val="0"/>
        <w:keepLines w:val="0"/>
        <w:pageBreakBefore w:val="0"/>
        <w:kinsoku/>
        <w:wordWrap/>
        <w:overflowPunct/>
        <w:topLinePunct w:val="0"/>
        <w:bidi w:val="0"/>
        <w:snapToGrid/>
        <w:spacing w:line="560" w:lineRule="exact"/>
        <w:ind w:left="0" w:leftChars="0" w:right="0" w:firstLine="640" w:firstLineChars="200"/>
        <w:jc w:val="left"/>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2023</w:t>
      </w:r>
      <w:r>
        <w:rPr>
          <w:rFonts w:hint="eastAsia" w:ascii="Times New Roman" w:hAnsi="Times New Roman" w:eastAsia="仿宋_GB2312"/>
          <w:color w:val="auto"/>
          <w:sz w:val="32"/>
          <w:szCs w:val="32"/>
          <w:highlight w:val="none"/>
        </w:rPr>
        <w:t>年</w:t>
      </w:r>
      <w:r>
        <w:rPr>
          <w:rFonts w:hint="eastAsia" w:ascii="Times New Roman" w:hAnsi="Times New Roman" w:eastAsia="仿宋_GB2312"/>
          <w:color w:val="auto"/>
          <w:sz w:val="32"/>
          <w:szCs w:val="32"/>
          <w:highlight w:val="none"/>
          <w:lang w:eastAsia="zh-CN"/>
        </w:rPr>
        <w:t>度</w:t>
      </w:r>
      <w:r>
        <w:rPr>
          <w:rFonts w:hint="eastAsia" w:ascii="Times New Roman" w:hAnsi="Times New Roman" w:eastAsia="仿宋_GB2312"/>
          <w:color w:val="auto"/>
          <w:sz w:val="32"/>
          <w:szCs w:val="32"/>
          <w:highlight w:val="none"/>
        </w:rPr>
        <w:t>政府性基金预算</w:t>
      </w:r>
      <w:r>
        <w:rPr>
          <w:rFonts w:hint="eastAsia" w:ascii="Times New Roman" w:hAnsi="Times New Roman" w:eastAsia="仿宋_GB2312"/>
          <w:color w:val="auto"/>
          <w:sz w:val="32"/>
          <w:szCs w:val="32"/>
          <w:highlight w:val="none"/>
          <w:lang w:eastAsia="zh-CN"/>
        </w:rPr>
        <w:t>财政</w:t>
      </w:r>
      <w:r>
        <w:rPr>
          <w:rFonts w:hint="eastAsia" w:ascii="Times New Roman" w:hAnsi="Times New Roman" w:eastAsia="仿宋_GB2312"/>
          <w:color w:val="auto"/>
          <w:sz w:val="32"/>
          <w:szCs w:val="32"/>
          <w:highlight w:val="none"/>
        </w:rPr>
        <w:t>拨款支出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w:t>
      </w:r>
    </w:p>
    <w:p w14:paraId="73B07AB0">
      <w:pPr>
        <w:keepNext w:val="0"/>
        <w:keepLines w:val="0"/>
        <w:pageBreakBefore w:val="0"/>
        <w:kinsoku/>
        <w:wordWrap/>
        <w:overflowPunct/>
        <w:topLinePunct w:val="0"/>
        <w:bidi w:val="0"/>
        <w:snapToGrid/>
        <w:spacing w:line="560" w:lineRule="exact"/>
        <w:ind w:left="0" w:leftChars="0" w:right="0" w:firstLine="640" w:firstLineChars="200"/>
        <w:jc w:val="left"/>
        <w:rPr>
          <w:rFonts w:ascii="Times New Roman" w:hAnsi="Times New Roman" w:eastAsia="仿宋_GB2312"/>
          <w:color w:val="auto"/>
          <w:sz w:val="32"/>
          <w:szCs w:val="32"/>
          <w:highlight w:val="none"/>
        </w:rPr>
      </w:pPr>
    </w:p>
    <w:p w14:paraId="037919D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24" w:firstLineChars="200"/>
        <w:jc w:val="left"/>
        <w:textAlignment w:val="auto"/>
        <w:outlineLvl w:val="1"/>
        <w:rPr>
          <w:rStyle w:val="20"/>
          <w:rFonts w:ascii="Times New Roman" w:hAnsi="Times New Roman" w:eastAsia="黑体"/>
          <w:b w:val="0"/>
          <w:color w:val="auto"/>
          <w:highlight w:val="none"/>
        </w:rPr>
      </w:pPr>
      <w:r>
        <w:rPr>
          <w:rStyle w:val="20"/>
          <w:rFonts w:hint="eastAsia" w:ascii="Times New Roman" w:hAnsi="Times New Roman" w:eastAsia="黑体"/>
          <w:b w:val="0"/>
          <w:color w:val="auto"/>
          <w:highlight w:val="none"/>
          <w:lang w:eastAsia="zh-CN"/>
        </w:rPr>
        <w:t>九、</w:t>
      </w:r>
      <w:r>
        <w:rPr>
          <w:rStyle w:val="20"/>
          <w:rFonts w:hint="eastAsia" w:ascii="Times New Roman" w:hAnsi="Times New Roman" w:eastAsia="黑体"/>
          <w:b w:val="0"/>
          <w:color w:val="auto"/>
          <w:highlight w:val="none"/>
        </w:rPr>
        <w:t>国有资本经营预算支出决算情况说明</w:t>
      </w:r>
    </w:p>
    <w:p w14:paraId="77796E80">
      <w:pPr>
        <w:keepNext w:val="0"/>
        <w:keepLines w:val="0"/>
        <w:pageBreakBefore w:val="0"/>
        <w:kinsoku/>
        <w:wordWrap/>
        <w:overflowPunct/>
        <w:topLinePunct w:val="0"/>
        <w:bidi w:val="0"/>
        <w:snapToGrid/>
        <w:spacing w:line="560" w:lineRule="exact"/>
        <w:ind w:left="0" w:leftChars="0" w:right="0" w:firstLine="640" w:firstLineChars="200"/>
        <w:jc w:val="left"/>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2023</w:t>
      </w:r>
      <w:r>
        <w:rPr>
          <w:rFonts w:hint="eastAsia" w:ascii="Times New Roman" w:hAnsi="Times New Roman" w:eastAsia="仿宋_GB2312"/>
          <w:color w:val="auto"/>
          <w:sz w:val="32"/>
          <w:szCs w:val="32"/>
          <w:highlight w:val="none"/>
        </w:rPr>
        <w:t>年</w:t>
      </w:r>
      <w:r>
        <w:rPr>
          <w:rFonts w:hint="eastAsia" w:ascii="Times New Roman" w:hAnsi="Times New Roman" w:eastAsia="仿宋_GB2312"/>
          <w:color w:val="auto"/>
          <w:sz w:val="32"/>
          <w:szCs w:val="32"/>
          <w:highlight w:val="none"/>
          <w:lang w:eastAsia="zh-CN"/>
        </w:rPr>
        <w:t>度</w:t>
      </w:r>
      <w:r>
        <w:rPr>
          <w:rFonts w:hint="eastAsia" w:ascii="Times New Roman" w:hAnsi="Times New Roman" w:eastAsia="仿宋_GB2312"/>
          <w:color w:val="auto"/>
          <w:sz w:val="32"/>
          <w:szCs w:val="32"/>
          <w:highlight w:val="none"/>
        </w:rPr>
        <w:t>国有资本经营预算</w:t>
      </w:r>
      <w:r>
        <w:rPr>
          <w:rFonts w:hint="eastAsia" w:ascii="Times New Roman" w:hAnsi="Times New Roman" w:eastAsia="仿宋_GB2312"/>
          <w:color w:val="auto"/>
          <w:sz w:val="32"/>
          <w:szCs w:val="32"/>
          <w:highlight w:val="none"/>
          <w:lang w:eastAsia="zh-CN"/>
        </w:rPr>
        <w:t>财政</w:t>
      </w:r>
      <w:r>
        <w:rPr>
          <w:rFonts w:hint="eastAsia" w:ascii="Times New Roman" w:hAnsi="Times New Roman" w:eastAsia="仿宋_GB2312"/>
          <w:color w:val="auto"/>
          <w:sz w:val="32"/>
          <w:szCs w:val="32"/>
          <w:highlight w:val="none"/>
        </w:rPr>
        <w:t>拨款支出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w:t>
      </w:r>
    </w:p>
    <w:p w14:paraId="4338D059">
      <w:pPr>
        <w:keepNext w:val="0"/>
        <w:keepLines w:val="0"/>
        <w:pageBreakBefore w:val="0"/>
        <w:widowControl w:val="0"/>
        <w:kinsoku/>
        <w:wordWrap/>
        <w:overflowPunct/>
        <w:topLinePunct w:val="0"/>
        <w:autoSpaceDE/>
        <w:autoSpaceDN/>
        <w:bidi w:val="0"/>
        <w:adjustRightInd/>
        <w:snapToGrid/>
        <w:spacing w:line="560" w:lineRule="exact"/>
        <w:ind w:left="0" w:leftChars="0" w:right="0" w:firstLine="880" w:firstLineChars="200"/>
        <w:jc w:val="left"/>
        <w:textAlignment w:val="auto"/>
        <w:rPr>
          <w:rFonts w:ascii="Times New Roman" w:hAnsi="Times New Roman" w:eastAsia="方正小标宋简体" w:cs="方正小标宋简体"/>
          <w:color w:val="auto"/>
          <w:sz w:val="44"/>
          <w:szCs w:val="44"/>
          <w:highlight w:val="none"/>
        </w:rPr>
      </w:pPr>
    </w:p>
    <w:p w14:paraId="380DBD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firstLine="624" w:firstLineChars="200"/>
        <w:jc w:val="left"/>
        <w:textAlignment w:val="auto"/>
        <w:outlineLvl w:val="1"/>
        <w:rPr>
          <w:rStyle w:val="20"/>
          <w:rFonts w:hint="eastAsia" w:ascii="Times New Roman" w:hAnsi="Times New Roman" w:eastAsia="黑体"/>
          <w:b w:val="0"/>
          <w:color w:val="auto"/>
          <w:highlight w:val="none"/>
        </w:rPr>
      </w:pPr>
      <w:r>
        <w:rPr>
          <w:rStyle w:val="20"/>
          <w:rFonts w:hint="eastAsia" w:ascii="Times New Roman" w:hAnsi="Times New Roman" w:eastAsia="黑体"/>
          <w:b w:val="0"/>
          <w:color w:val="auto"/>
          <w:highlight w:val="none"/>
          <w:lang w:eastAsia="zh-CN"/>
        </w:rPr>
        <w:t>十、</w:t>
      </w:r>
      <w:r>
        <w:rPr>
          <w:rStyle w:val="20"/>
          <w:rFonts w:hint="eastAsia" w:ascii="Times New Roman" w:hAnsi="Times New Roman" w:eastAsia="黑体"/>
          <w:b w:val="0"/>
          <w:color w:val="auto"/>
          <w:highlight w:val="none"/>
        </w:rPr>
        <w:t>其他重要事项的情况说明</w:t>
      </w:r>
    </w:p>
    <w:p w14:paraId="2017A1AB">
      <w:pPr>
        <w:keepNext w:val="0"/>
        <w:keepLines w:val="0"/>
        <w:pageBreakBefore w:val="0"/>
        <w:kinsoku/>
        <w:wordWrap/>
        <w:overflowPunct/>
        <w:topLinePunct w:val="0"/>
        <w:bidi w:val="0"/>
        <w:snapToGrid/>
        <w:spacing w:line="560" w:lineRule="exact"/>
        <w:ind w:left="0" w:leftChars="0" w:right="0" w:firstLine="643" w:firstLineChars="200"/>
        <w:jc w:val="left"/>
        <w:outlineLvl w:val="2"/>
        <w:rPr>
          <w:rFonts w:ascii="Times New Roman" w:hAnsi="Times New Roman" w:eastAsia="仿宋"/>
          <w:color w:val="auto"/>
          <w:sz w:val="32"/>
          <w:szCs w:val="32"/>
          <w:highlight w:val="none"/>
        </w:rPr>
      </w:pPr>
      <w:r>
        <w:rPr>
          <w:rFonts w:hint="eastAsia" w:ascii="Times New Roman" w:hAnsi="Times New Roman" w:eastAsia="仿宋"/>
          <w:b/>
          <w:color w:val="auto"/>
          <w:sz w:val="32"/>
          <w:szCs w:val="32"/>
          <w:highlight w:val="none"/>
        </w:rPr>
        <w:t>（一）机关运行经费支出情况</w:t>
      </w:r>
    </w:p>
    <w:p w14:paraId="18A0713A">
      <w:pPr>
        <w:keepNext w:val="0"/>
        <w:keepLines w:val="0"/>
        <w:pageBreakBefore w:val="0"/>
        <w:kinsoku/>
        <w:wordWrap/>
        <w:overflowPunct/>
        <w:topLinePunct w:val="0"/>
        <w:bidi w:val="0"/>
        <w:snapToGrid/>
        <w:spacing w:line="560" w:lineRule="exact"/>
        <w:ind w:left="0" w:leftChars="0" w:right="0" w:firstLine="640" w:firstLineChars="200"/>
        <w:jc w:val="left"/>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t>20</w:t>
      </w:r>
      <w:r>
        <w:rPr>
          <w:rFonts w:hint="eastAsia" w:ascii="Times New Roman" w:hAnsi="Times New Roman" w:eastAsia="仿宋_GB2312"/>
          <w:color w:val="auto"/>
          <w:sz w:val="32"/>
          <w:szCs w:val="32"/>
          <w:highlight w:val="none"/>
          <w:lang w:val="en-US" w:eastAsia="zh-CN"/>
        </w:rPr>
        <w:t>23</w:t>
      </w:r>
      <w:r>
        <w:rPr>
          <w:rFonts w:hint="eastAsia" w:ascii="Times New Roman" w:hAnsi="Times New Roman" w:eastAsia="仿宋"/>
          <w:sz w:val="32"/>
          <w:szCs w:val="32"/>
          <w:lang w:val="en-US" w:eastAsia="zh-CN"/>
        </w:rPr>
        <w:t>年度</w:t>
      </w:r>
      <w:r>
        <w:rPr>
          <w:rFonts w:hint="eastAsia" w:ascii="Times New Roman" w:hAnsi="Times New Roman" w:eastAsia="仿宋_GB2312"/>
          <w:color w:val="auto"/>
          <w:sz w:val="32"/>
          <w:szCs w:val="32"/>
          <w:highlight w:val="none"/>
        </w:rPr>
        <w:t>，机关运行经费支出</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万元，比</w:t>
      </w:r>
      <w:r>
        <w:rPr>
          <w:rFonts w:ascii="Times New Roman" w:hAnsi="Times New Roman" w:eastAsia="仿宋_GB2312"/>
          <w:color w:val="auto"/>
          <w:sz w:val="32"/>
          <w:szCs w:val="32"/>
          <w:highlight w:val="none"/>
        </w:rPr>
        <w:t>20</w:t>
      </w:r>
      <w:r>
        <w:rPr>
          <w:rFonts w:hint="eastAsia" w:ascii="Times New Roman" w:hAnsi="Times New Roman" w:eastAsia="仿宋_GB2312"/>
          <w:color w:val="auto"/>
          <w:sz w:val="32"/>
          <w:szCs w:val="32"/>
          <w:highlight w:val="none"/>
          <w:lang w:val="en-US" w:eastAsia="zh-CN"/>
        </w:rPr>
        <w:t>22</w:t>
      </w:r>
      <w:r>
        <w:rPr>
          <w:rFonts w:hint="eastAsia" w:ascii="Times New Roman" w:hAnsi="Times New Roman" w:eastAsia="仿宋_GB2312"/>
          <w:color w:val="auto"/>
          <w:sz w:val="32"/>
          <w:szCs w:val="32"/>
          <w:highlight w:val="none"/>
        </w:rPr>
        <w:t>年相比无增减变动</w:t>
      </w:r>
      <w:r>
        <w:rPr>
          <w:rFonts w:hint="eastAsia" w:ascii="Times New Roman" w:hAnsi="Times New Roman" w:eastAsia="仿宋_GB2312"/>
          <w:color w:val="auto"/>
          <w:sz w:val="32"/>
          <w:szCs w:val="32"/>
          <w:highlight w:val="none"/>
          <w:lang w:eastAsia="zh-CN"/>
        </w:rPr>
        <w:t>。</w:t>
      </w:r>
    </w:p>
    <w:p w14:paraId="3276E340">
      <w:pPr>
        <w:keepNext w:val="0"/>
        <w:keepLines w:val="0"/>
        <w:pageBreakBefore w:val="0"/>
        <w:kinsoku/>
        <w:wordWrap/>
        <w:overflowPunct/>
        <w:topLinePunct w:val="0"/>
        <w:autoSpaceDE w:val="0"/>
        <w:autoSpaceDN w:val="0"/>
        <w:bidi w:val="0"/>
        <w:adjustRightInd w:val="0"/>
        <w:snapToGrid/>
        <w:spacing w:line="560" w:lineRule="exact"/>
        <w:ind w:left="0" w:leftChars="0" w:right="0" w:firstLine="643" w:firstLineChars="200"/>
        <w:jc w:val="left"/>
        <w:outlineLvl w:val="2"/>
        <w:rPr>
          <w:rFonts w:ascii="Times New Roman" w:hAnsi="Times New Roman" w:eastAsia="仿宋"/>
          <w:b/>
          <w:color w:val="auto"/>
          <w:sz w:val="32"/>
          <w:szCs w:val="32"/>
          <w:highlight w:val="none"/>
        </w:rPr>
      </w:pPr>
      <w:r>
        <w:rPr>
          <w:rFonts w:hint="eastAsia" w:ascii="Times New Roman" w:hAnsi="Times New Roman" w:eastAsia="仿宋"/>
          <w:b/>
          <w:color w:val="auto"/>
          <w:sz w:val="32"/>
          <w:szCs w:val="32"/>
          <w:highlight w:val="none"/>
        </w:rPr>
        <w:t>（二）政府采购支出情况</w:t>
      </w:r>
    </w:p>
    <w:p w14:paraId="359EA586">
      <w:pPr>
        <w:keepNext w:val="0"/>
        <w:keepLines w:val="0"/>
        <w:pageBreakBefore w:val="0"/>
        <w:widowControl/>
        <w:kinsoku/>
        <w:wordWrap/>
        <w:overflowPunct/>
        <w:topLinePunct w:val="0"/>
        <w:bidi w:val="0"/>
        <w:snapToGrid/>
        <w:spacing w:line="560" w:lineRule="exact"/>
        <w:ind w:left="0" w:leftChars="0" w:right="0" w:firstLine="640" w:firstLineChars="200"/>
        <w:jc w:val="left"/>
        <w:textAlignment w:val="baseline"/>
        <w:rPr>
          <w:rFonts w:ascii="Times New Roman" w:hAnsi="Times New Roman" w:eastAsia="仿宋_GB2312"/>
          <w:color w:val="auto"/>
          <w:sz w:val="32"/>
          <w:szCs w:val="32"/>
          <w:highlight w:val="none"/>
        </w:rPr>
      </w:pPr>
      <w:r>
        <w:rPr>
          <w:rFonts w:hint="eastAsia" w:ascii="Times New Roman" w:hAnsi="Times New Roman" w:eastAsia="仿宋_GB2312"/>
          <w:color w:val="auto"/>
          <w:sz w:val="32"/>
          <w:szCs w:val="32"/>
          <w:highlight w:val="none"/>
          <w:lang w:eastAsia="zh-CN"/>
        </w:rPr>
        <w:t>2023</w:t>
      </w:r>
      <w:r>
        <w:rPr>
          <w:rFonts w:hint="eastAsia" w:ascii="Times New Roman" w:hAnsi="Times New Roman" w:eastAsia="仿宋_GB2312"/>
          <w:color w:val="auto"/>
          <w:sz w:val="32"/>
          <w:szCs w:val="32"/>
          <w:highlight w:val="none"/>
        </w:rPr>
        <w:t>年</w:t>
      </w:r>
      <w:r>
        <w:rPr>
          <w:rFonts w:hint="eastAsia" w:ascii="Times New Roman" w:hAnsi="Times New Roman" w:eastAsia="仿宋_GB2312"/>
          <w:color w:val="auto"/>
          <w:sz w:val="32"/>
          <w:szCs w:val="32"/>
          <w:highlight w:val="none"/>
          <w:lang w:eastAsia="zh-CN"/>
        </w:rPr>
        <w:t>度</w:t>
      </w:r>
      <w:r>
        <w:rPr>
          <w:rFonts w:hint="eastAsia" w:ascii="Times New Roman" w:hAnsi="Times New Roman" w:eastAsia="仿宋_GB2312"/>
          <w:color w:val="auto"/>
          <w:sz w:val="32"/>
          <w:szCs w:val="32"/>
          <w:highlight w:val="none"/>
        </w:rPr>
        <w:t>，政府采购支出总额</w:t>
      </w:r>
      <w:r>
        <w:rPr>
          <w:rFonts w:hint="eastAsia" w:ascii="Times New Roman" w:hAnsi="Times New Roman" w:eastAsia="仿宋_GB2312" w:cs="仿宋"/>
          <w:bCs/>
          <w:color w:val="000000"/>
          <w:sz w:val="32"/>
          <w:szCs w:val="32"/>
          <w:lang w:val="en-US" w:eastAsia="zh-CN"/>
        </w:rPr>
        <w:t>3072.94</w:t>
      </w:r>
      <w:r>
        <w:rPr>
          <w:rFonts w:hint="eastAsia" w:ascii="Times New Roman" w:hAnsi="Times New Roman" w:eastAsia="仿宋_GB2312"/>
          <w:color w:val="auto"/>
          <w:sz w:val="32"/>
          <w:szCs w:val="32"/>
          <w:highlight w:val="none"/>
        </w:rPr>
        <w:t>万元，其中：政府采购货物支出</w:t>
      </w:r>
      <w:r>
        <w:rPr>
          <w:rFonts w:hint="eastAsia" w:ascii="Times New Roman" w:hAnsi="Times New Roman" w:eastAsia="仿宋_GB2312" w:cs="仿宋"/>
          <w:bCs/>
          <w:color w:val="000000"/>
          <w:sz w:val="32"/>
          <w:szCs w:val="32"/>
          <w:lang w:val="en-US" w:eastAsia="zh-CN"/>
        </w:rPr>
        <w:t>1974.33</w:t>
      </w:r>
      <w:r>
        <w:rPr>
          <w:rFonts w:hint="eastAsia" w:ascii="Times New Roman" w:hAnsi="Times New Roman" w:eastAsia="仿宋_GB2312"/>
          <w:color w:val="auto"/>
          <w:sz w:val="32"/>
          <w:szCs w:val="32"/>
          <w:highlight w:val="none"/>
        </w:rPr>
        <w:t>万元、政府采购工程支出</w:t>
      </w:r>
      <w:r>
        <w:rPr>
          <w:rFonts w:hint="eastAsia" w:ascii="Times New Roman" w:hAnsi="Times New Roman" w:eastAsia="仿宋_GB2312" w:cs="仿宋"/>
          <w:bCs/>
          <w:color w:val="000000"/>
          <w:sz w:val="32"/>
          <w:szCs w:val="32"/>
          <w:lang w:val="en-US" w:eastAsia="zh-CN"/>
        </w:rPr>
        <w:t>213.49</w:t>
      </w:r>
      <w:r>
        <w:rPr>
          <w:rFonts w:hint="eastAsia" w:ascii="Times New Roman" w:hAnsi="Times New Roman" w:eastAsia="仿宋_GB2312"/>
          <w:color w:val="auto"/>
          <w:sz w:val="32"/>
          <w:szCs w:val="32"/>
          <w:highlight w:val="none"/>
        </w:rPr>
        <w:t>万元、政府采购服务支出</w:t>
      </w:r>
      <w:r>
        <w:rPr>
          <w:rFonts w:hint="eastAsia" w:ascii="Times New Roman" w:hAnsi="Times New Roman" w:eastAsia="仿宋_GB2312" w:cs="仿宋"/>
          <w:bCs/>
          <w:color w:val="000000"/>
          <w:sz w:val="32"/>
          <w:szCs w:val="32"/>
          <w:highlight w:val="none"/>
          <w:lang w:val="en-US" w:eastAsia="zh-CN"/>
        </w:rPr>
        <w:t>885.12</w:t>
      </w:r>
      <w:r>
        <w:rPr>
          <w:rFonts w:hint="eastAsia" w:ascii="Times New Roman" w:hAnsi="Times New Roman" w:eastAsia="仿宋_GB2312"/>
          <w:color w:val="auto"/>
          <w:sz w:val="32"/>
          <w:szCs w:val="32"/>
          <w:highlight w:val="none"/>
        </w:rPr>
        <w:t>万元。</w:t>
      </w:r>
      <w:r>
        <w:rPr>
          <w:rFonts w:hint="eastAsia" w:ascii="Times New Roman" w:hAnsi="Times New Roman" w:eastAsia="仿宋_GB2312"/>
          <w:sz w:val="32"/>
          <w:szCs w:val="32"/>
        </w:rPr>
        <w:t>主要用于实验室建设、教学平台建设、教学楼改造等</w:t>
      </w:r>
      <w:r>
        <w:rPr>
          <w:rFonts w:hint="eastAsia" w:ascii="Times New Roman" w:hAnsi="Times New Roman" w:eastAsia="仿宋_GB2312"/>
          <w:color w:val="auto"/>
          <w:sz w:val="32"/>
          <w:szCs w:val="32"/>
          <w:highlight w:val="none"/>
        </w:rPr>
        <w:t>。授予中小企业合同金额</w:t>
      </w:r>
      <w:r>
        <w:rPr>
          <w:rFonts w:hint="eastAsia" w:ascii="Times New Roman" w:hAnsi="Times New Roman" w:eastAsia="仿宋_GB2312" w:cs="仿宋"/>
          <w:bCs/>
          <w:color w:val="000000"/>
          <w:sz w:val="32"/>
          <w:szCs w:val="32"/>
          <w:highlight w:val="none"/>
          <w:lang w:val="en-US" w:eastAsia="zh-CN"/>
        </w:rPr>
        <w:t>613.64</w:t>
      </w:r>
      <w:r>
        <w:rPr>
          <w:rFonts w:hint="eastAsia" w:ascii="Times New Roman" w:hAnsi="Times New Roman" w:eastAsia="仿宋_GB2312"/>
          <w:color w:val="auto"/>
          <w:sz w:val="32"/>
          <w:szCs w:val="32"/>
          <w:highlight w:val="none"/>
        </w:rPr>
        <w:t>万元，占政府采购支出总额的</w:t>
      </w:r>
      <w:r>
        <w:rPr>
          <w:rFonts w:hint="eastAsia" w:ascii="Times New Roman" w:hAnsi="Times New Roman" w:eastAsia="仿宋_GB2312"/>
          <w:color w:val="auto"/>
          <w:sz w:val="32"/>
          <w:szCs w:val="32"/>
          <w:highlight w:val="none"/>
          <w:lang w:val="en-US" w:eastAsia="zh-CN"/>
        </w:rPr>
        <w:t>20</w:t>
      </w:r>
      <w:r>
        <w:rPr>
          <w:rFonts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rPr>
        <w:t>，其中：授予小微企业合同金额</w:t>
      </w:r>
      <w:r>
        <w:rPr>
          <w:rFonts w:hint="eastAsia" w:ascii="Times New Roman" w:hAnsi="Times New Roman" w:eastAsia="仿宋_GB2312"/>
          <w:color w:val="auto"/>
          <w:sz w:val="32"/>
          <w:szCs w:val="32"/>
          <w:highlight w:val="none"/>
          <w:lang w:val="en-US" w:eastAsia="zh-CN"/>
        </w:rPr>
        <w:t>0</w:t>
      </w:r>
      <w:r>
        <w:rPr>
          <w:rFonts w:hint="eastAsia" w:ascii="Times New Roman" w:hAnsi="Times New Roman" w:eastAsia="仿宋_GB2312"/>
          <w:color w:val="auto"/>
          <w:sz w:val="32"/>
          <w:szCs w:val="32"/>
          <w:highlight w:val="none"/>
        </w:rPr>
        <w:t>万元。</w:t>
      </w:r>
    </w:p>
    <w:p w14:paraId="5ADD758E">
      <w:pPr>
        <w:keepNext w:val="0"/>
        <w:keepLines w:val="0"/>
        <w:pageBreakBefore w:val="0"/>
        <w:widowControl/>
        <w:kinsoku/>
        <w:wordWrap/>
        <w:overflowPunct/>
        <w:topLinePunct w:val="0"/>
        <w:autoSpaceDE w:val="0"/>
        <w:autoSpaceDN w:val="0"/>
        <w:bidi w:val="0"/>
        <w:adjustRightInd w:val="0"/>
        <w:snapToGrid/>
        <w:spacing w:line="560" w:lineRule="exact"/>
        <w:ind w:left="0" w:leftChars="0" w:right="0" w:firstLine="643" w:firstLineChars="200"/>
        <w:jc w:val="left"/>
        <w:textAlignment w:val="baseline"/>
        <w:outlineLvl w:val="2"/>
        <w:rPr>
          <w:rFonts w:ascii="Times New Roman" w:hAnsi="Times New Roman" w:eastAsia="仿宋"/>
          <w:b/>
          <w:color w:val="auto"/>
          <w:sz w:val="32"/>
          <w:szCs w:val="32"/>
          <w:highlight w:val="none"/>
        </w:rPr>
      </w:pPr>
      <w:r>
        <w:rPr>
          <w:rFonts w:hint="eastAsia" w:ascii="Times New Roman" w:hAnsi="Times New Roman" w:eastAsia="仿宋"/>
          <w:b/>
          <w:color w:val="auto"/>
          <w:sz w:val="32"/>
          <w:szCs w:val="32"/>
          <w:highlight w:val="none"/>
        </w:rPr>
        <w:t>（三）国有资产占有使用情况</w:t>
      </w:r>
    </w:p>
    <w:p w14:paraId="02DCA7E4">
      <w:pPr>
        <w:pageBreakBefore w:val="0"/>
        <w:kinsoku/>
        <w:wordWrap/>
        <w:overflowPunct/>
        <w:topLinePunct w:val="0"/>
        <w:autoSpaceDE w:val="0"/>
        <w:autoSpaceDN w:val="0"/>
        <w:bidi w:val="0"/>
        <w:adjustRightInd w:val="0"/>
        <w:spacing w:line="560" w:lineRule="exact"/>
        <w:ind w:left="0" w:leftChars="0" w:firstLine="640" w:firstLineChars="200"/>
        <w:jc w:val="left"/>
        <w:rPr>
          <w:rFonts w:ascii="Times New Roman" w:hAnsi="Times New Roman" w:eastAsia="仿宋"/>
          <w:b/>
          <w:color w:val="auto"/>
          <w:sz w:val="32"/>
          <w:szCs w:val="32"/>
          <w:highlight w:val="none"/>
        </w:rPr>
      </w:pPr>
      <w:r>
        <w:rPr>
          <w:rFonts w:hint="eastAsia" w:ascii="Times New Roman" w:hAnsi="Times New Roman" w:eastAsia="仿宋_GB2312"/>
          <w:color w:val="auto"/>
          <w:sz w:val="32"/>
          <w:szCs w:val="32"/>
          <w:highlight w:val="none"/>
        </w:rPr>
        <w:t>截至</w:t>
      </w:r>
      <w:r>
        <w:rPr>
          <w:rFonts w:ascii="Times New Roman" w:hAnsi="Times New Roman" w:eastAsia="仿宋_GB2312"/>
          <w:color w:val="auto"/>
          <w:sz w:val="32"/>
          <w:szCs w:val="32"/>
          <w:highlight w:val="none"/>
        </w:rPr>
        <w:t>20</w:t>
      </w:r>
      <w:r>
        <w:rPr>
          <w:rFonts w:hint="eastAsia" w:ascii="Times New Roman" w:hAnsi="Times New Roman" w:eastAsia="仿宋_GB2312"/>
          <w:color w:val="auto"/>
          <w:sz w:val="32"/>
          <w:szCs w:val="32"/>
          <w:highlight w:val="none"/>
          <w:lang w:val="en-US" w:eastAsia="zh-CN"/>
        </w:rPr>
        <w:t>23</w:t>
      </w:r>
      <w:r>
        <w:rPr>
          <w:rFonts w:hint="eastAsia" w:ascii="Times New Roman" w:hAnsi="Times New Roman" w:eastAsia="仿宋_GB2312"/>
          <w:color w:val="auto"/>
          <w:sz w:val="32"/>
          <w:szCs w:val="32"/>
          <w:highlight w:val="none"/>
        </w:rPr>
        <w:t>年</w:t>
      </w:r>
      <w:r>
        <w:rPr>
          <w:rFonts w:ascii="Times New Roman" w:hAnsi="Times New Roman" w:eastAsia="仿宋_GB2312"/>
          <w:color w:val="auto"/>
          <w:sz w:val="32"/>
          <w:szCs w:val="32"/>
          <w:highlight w:val="none"/>
        </w:rPr>
        <w:t>12</w:t>
      </w:r>
      <w:r>
        <w:rPr>
          <w:rFonts w:hint="eastAsia" w:ascii="Times New Roman" w:hAnsi="Times New Roman" w:eastAsia="仿宋_GB2312"/>
          <w:color w:val="auto"/>
          <w:sz w:val="32"/>
          <w:szCs w:val="32"/>
          <w:highlight w:val="none"/>
        </w:rPr>
        <w:t>月</w:t>
      </w:r>
      <w:r>
        <w:rPr>
          <w:rFonts w:ascii="Times New Roman" w:hAnsi="Times New Roman" w:eastAsia="仿宋_GB2312"/>
          <w:color w:val="auto"/>
          <w:sz w:val="32"/>
          <w:szCs w:val="32"/>
          <w:highlight w:val="none"/>
        </w:rPr>
        <w:t>31</w:t>
      </w:r>
      <w:r>
        <w:rPr>
          <w:rFonts w:hint="eastAsia" w:ascii="Times New Roman" w:hAnsi="Times New Roman" w:eastAsia="仿宋_GB2312"/>
          <w:color w:val="auto"/>
          <w:sz w:val="32"/>
          <w:szCs w:val="32"/>
          <w:highlight w:val="none"/>
        </w:rPr>
        <w:t>日，共有车辆</w:t>
      </w:r>
      <w:r>
        <w:rPr>
          <w:rFonts w:hint="eastAsia" w:ascii="Times New Roman" w:hAnsi="Times New Roman" w:eastAsia="仿宋_GB2312"/>
          <w:color w:val="auto"/>
          <w:sz w:val="32"/>
          <w:szCs w:val="32"/>
          <w:highlight w:val="none"/>
          <w:lang w:val="en-US" w:eastAsia="zh-CN"/>
        </w:rPr>
        <w:t>17</w:t>
      </w:r>
      <w:r>
        <w:rPr>
          <w:rFonts w:hint="eastAsia" w:ascii="Times New Roman" w:hAnsi="Times New Roman" w:eastAsia="仿宋_GB2312"/>
          <w:color w:val="auto"/>
          <w:sz w:val="32"/>
          <w:szCs w:val="32"/>
          <w:highlight w:val="none"/>
        </w:rPr>
        <w:t>辆，其中：主要领导干部用车1辆、特种专业技术用车1辆、离退休干部用车2辆、其他用车13辆，其他用车主要是用于学校教职工因公出行。单价50万元以上通用设备0台（套），单价100万元以上专用设备</w:t>
      </w:r>
      <w:r>
        <w:rPr>
          <w:rFonts w:hint="eastAsia" w:ascii="Times New Roman" w:hAnsi="Times New Roman" w:eastAsia="仿宋_GB2312"/>
          <w:color w:val="auto"/>
          <w:sz w:val="32"/>
          <w:szCs w:val="32"/>
          <w:highlight w:val="none"/>
          <w:lang w:val="en-US" w:eastAsia="zh-CN"/>
        </w:rPr>
        <w:t>23</w:t>
      </w:r>
      <w:r>
        <w:rPr>
          <w:rFonts w:hint="eastAsia" w:ascii="Times New Roman" w:hAnsi="Times New Roman" w:eastAsia="仿宋_GB2312"/>
          <w:color w:val="auto"/>
          <w:sz w:val="32"/>
          <w:szCs w:val="32"/>
          <w:highlight w:val="none"/>
        </w:rPr>
        <w:t>台（套）。</w:t>
      </w:r>
    </w:p>
    <w:p w14:paraId="53932DDF">
      <w:pPr>
        <w:keepNext w:val="0"/>
        <w:keepLines w:val="0"/>
        <w:pageBreakBefore w:val="0"/>
        <w:widowControl/>
        <w:kinsoku/>
        <w:wordWrap/>
        <w:overflowPunct/>
        <w:topLinePunct w:val="0"/>
        <w:autoSpaceDE w:val="0"/>
        <w:autoSpaceDN w:val="0"/>
        <w:bidi w:val="0"/>
        <w:adjustRightInd w:val="0"/>
        <w:snapToGrid/>
        <w:spacing w:line="560" w:lineRule="exact"/>
        <w:ind w:left="0" w:leftChars="0" w:right="0" w:firstLine="643" w:firstLineChars="200"/>
        <w:jc w:val="left"/>
        <w:textAlignment w:val="baseline"/>
        <w:outlineLvl w:val="2"/>
        <w:rPr>
          <w:rFonts w:hint="eastAsia" w:ascii="Times New Roman" w:hAnsi="Times New Roman" w:eastAsia="仿宋"/>
          <w:b/>
          <w:bCs w:val="0"/>
          <w:color w:val="auto"/>
          <w:sz w:val="32"/>
          <w:szCs w:val="32"/>
          <w:highlight w:val="none"/>
          <w:shd w:val="clear" w:color="auto" w:fill="auto"/>
          <w:lang w:eastAsia="zh-CN"/>
        </w:rPr>
      </w:pPr>
      <w:r>
        <w:rPr>
          <w:rFonts w:hint="eastAsia" w:ascii="Times New Roman" w:hAnsi="Times New Roman" w:eastAsia="仿宋"/>
          <w:b/>
          <w:bCs w:val="0"/>
          <w:color w:val="auto"/>
          <w:sz w:val="32"/>
          <w:szCs w:val="32"/>
          <w:highlight w:val="none"/>
          <w:shd w:val="clear" w:color="auto" w:fill="auto"/>
        </w:rPr>
        <w:t>（四）预算绩效管理情况</w:t>
      </w:r>
    </w:p>
    <w:p w14:paraId="7BB4FAFF">
      <w:pPr>
        <w:keepNext w:val="0"/>
        <w:keepLines w:val="0"/>
        <w:pageBreakBefore w:val="0"/>
        <w:widowControl/>
        <w:kinsoku/>
        <w:wordWrap/>
        <w:overflowPunct/>
        <w:topLinePunct w:val="0"/>
        <w:bidi w:val="0"/>
        <w:snapToGrid/>
        <w:spacing w:line="560" w:lineRule="exact"/>
        <w:ind w:left="0" w:leftChars="0" w:right="0" w:firstLine="640" w:firstLineChars="200"/>
        <w:jc w:val="left"/>
        <w:textAlignment w:val="baseline"/>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eastAsia="zh-CN"/>
        </w:rPr>
        <w:t>根据预算绩效管理要求，本单位在</w:t>
      </w:r>
      <w:r>
        <w:rPr>
          <w:rFonts w:hint="eastAsia" w:ascii="Times New Roman" w:hAnsi="Times New Roman" w:eastAsia="仿宋_GB2312" w:cs="Times New Roman"/>
          <w:color w:val="auto"/>
          <w:sz w:val="32"/>
          <w:szCs w:val="32"/>
          <w:highlight w:val="none"/>
          <w:lang w:val="en-US" w:eastAsia="zh-CN"/>
        </w:rPr>
        <w:t>2023年度</w:t>
      </w:r>
      <w:r>
        <w:rPr>
          <w:rFonts w:hint="eastAsia" w:ascii="Times New Roman" w:hAnsi="Times New Roman" w:eastAsia="仿宋_GB2312" w:cs="Times New Roman"/>
          <w:color w:val="auto"/>
          <w:sz w:val="32"/>
          <w:szCs w:val="32"/>
          <w:highlight w:val="none"/>
          <w:lang w:eastAsia="zh-CN"/>
        </w:rPr>
        <w:t>预算编制阶段，</w:t>
      </w:r>
      <w:r>
        <w:rPr>
          <w:rFonts w:hint="eastAsia" w:ascii="Times New Roman" w:hAnsi="Times New Roman" w:eastAsia="仿宋_GB2312" w:cs="Times New Roman"/>
          <w:color w:val="auto"/>
          <w:sz w:val="32"/>
          <w:szCs w:val="32"/>
          <w:highlight w:val="none"/>
          <w:lang w:val="en-US" w:eastAsia="zh-CN"/>
        </w:rPr>
        <w:t>无</w:t>
      </w:r>
      <w:r>
        <w:rPr>
          <w:rFonts w:hint="eastAsia" w:ascii="Times New Roman" w:hAnsi="Times New Roman" w:eastAsia="仿宋_GB2312" w:cs="Times New Roman"/>
          <w:color w:val="auto"/>
          <w:sz w:val="32"/>
          <w:szCs w:val="32"/>
          <w:highlight w:val="none"/>
          <w:lang w:eastAsia="zh-CN"/>
        </w:rPr>
        <w:t>预算事前绩效评估</w:t>
      </w:r>
      <w:r>
        <w:rPr>
          <w:rFonts w:hint="eastAsia" w:ascii="Times New Roman" w:hAnsi="Times New Roman" w:eastAsia="仿宋_GB2312" w:cs="Times New Roman"/>
          <w:color w:val="auto"/>
          <w:sz w:val="32"/>
          <w:szCs w:val="32"/>
          <w:highlight w:val="none"/>
          <w:lang w:val="en-US" w:eastAsia="zh-CN"/>
        </w:rPr>
        <w:t>项目</w:t>
      </w:r>
      <w:r>
        <w:rPr>
          <w:rFonts w:hint="eastAsia" w:ascii="Times New Roman" w:hAnsi="Times New Roman" w:eastAsia="仿宋_GB2312" w:cs="Times New Roman"/>
          <w:color w:val="auto"/>
          <w:sz w:val="32"/>
          <w:szCs w:val="32"/>
          <w:highlight w:val="none"/>
          <w:lang w:eastAsia="zh-CN"/>
        </w:rPr>
        <w:t>，对</w:t>
      </w:r>
      <w:r>
        <w:rPr>
          <w:rFonts w:hint="eastAsia" w:ascii="Times New Roman" w:hAnsi="Times New Roman" w:eastAsia="仿宋_GB2312" w:cs="Times New Roman"/>
          <w:color w:val="auto"/>
          <w:sz w:val="32"/>
          <w:szCs w:val="32"/>
          <w:highlight w:val="none"/>
          <w:lang w:val="en-US" w:eastAsia="zh-CN"/>
        </w:rPr>
        <w:t>28个</w:t>
      </w:r>
      <w:r>
        <w:rPr>
          <w:rFonts w:hint="eastAsia" w:ascii="Times New Roman" w:hAnsi="Times New Roman" w:eastAsia="仿宋_GB2312" w:cs="Times New Roman"/>
          <w:color w:val="auto"/>
          <w:sz w:val="32"/>
          <w:szCs w:val="32"/>
          <w:highlight w:val="none"/>
          <w:lang w:eastAsia="zh-CN"/>
        </w:rPr>
        <w:t>项目编制了绩效目标，预算执行过程中，选取</w:t>
      </w:r>
      <w:r>
        <w:rPr>
          <w:rFonts w:hint="eastAsia" w:ascii="Times New Roman" w:hAnsi="Times New Roman" w:eastAsia="仿宋_GB2312" w:cs="Times New Roman"/>
          <w:color w:val="auto"/>
          <w:sz w:val="32"/>
          <w:szCs w:val="32"/>
          <w:highlight w:val="none"/>
          <w:lang w:val="en-US" w:eastAsia="zh-CN"/>
        </w:rPr>
        <w:t>28</w:t>
      </w:r>
      <w:r>
        <w:rPr>
          <w:rFonts w:hint="eastAsia" w:ascii="Times New Roman" w:hAnsi="Times New Roman" w:eastAsia="仿宋_GB2312" w:cs="Times New Roman"/>
          <w:color w:val="auto"/>
          <w:sz w:val="32"/>
          <w:szCs w:val="32"/>
          <w:highlight w:val="none"/>
          <w:lang w:eastAsia="zh-CN"/>
        </w:rPr>
        <w:t>个项目开展绩效监控，组织对</w:t>
      </w:r>
      <w:r>
        <w:rPr>
          <w:rFonts w:hint="eastAsia" w:ascii="Times New Roman" w:hAnsi="Times New Roman" w:eastAsia="仿宋_GB2312" w:cs="Times New Roman"/>
          <w:color w:val="auto"/>
          <w:sz w:val="32"/>
          <w:szCs w:val="32"/>
          <w:highlight w:val="none"/>
          <w:lang w:val="en-US" w:eastAsia="zh-CN"/>
        </w:rPr>
        <w:t>15个项目开展绩效自评，绩效自评表详见第四部分附件。</w:t>
      </w:r>
    </w:p>
    <w:p w14:paraId="2D7615E9">
      <w:pPr>
        <w:keepNext w:val="0"/>
        <w:keepLines w:val="0"/>
        <w:pageBreakBefore w:val="0"/>
        <w:widowControl/>
        <w:kinsoku/>
        <w:wordWrap/>
        <w:overflowPunct/>
        <w:topLinePunct w:val="0"/>
        <w:bidi w:val="0"/>
        <w:snapToGrid/>
        <w:spacing w:line="560" w:lineRule="exact"/>
        <w:ind w:left="0" w:leftChars="0" w:right="0" w:firstLine="640" w:firstLineChars="200"/>
        <w:jc w:val="left"/>
        <w:textAlignment w:val="baseline"/>
        <w:rPr>
          <w:rFonts w:hint="eastAsia" w:ascii="Times New Roman" w:hAnsi="Times New Roman" w:eastAsia="仿宋_GB2312" w:cs="Times New Roman"/>
          <w:color w:val="auto"/>
          <w:sz w:val="32"/>
          <w:szCs w:val="32"/>
          <w:highlight w:val="none"/>
          <w:lang w:eastAsia="zh-CN"/>
        </w:rPr>
      </w:pPr>
      <w:r>
        <w:rPr>
          <w:rFonts w:hint="eastAsia" w:ascii="Times New Roman" w:hAnsi="Times New Roman" w:eastAsia="仿宋_GB2312" w:cs="Times New Roman"/>
          <w:color w:val="auto"/>
          <w:sz w:val="32"/>
          <w:szCs w:val="32"/>
          <w:highlight w:val="none"/>
          <w:lang w:eastAsia="zh-CN"/>
        </w:rPr>
        <w:br w:type="page"/>
      </w:r>
    </w:p>
    <w:p w14:paraId="59A086ED">
      <w:pPr>
        <w:pageBreakBefore w:val="0"/>
        <w:numPr>
          <w:ilvl w:val="0"/>
          <w:numId w:val="0"/>
        </w:numPr>
        <w:kinsoku/>
        <w:wordWrap/>
        <w:overflowPunct/>
        <w:topLinePunct w:val="0"/>
        <w:bidi w:val="0"/>
        <w:spacing w:line="560" w:lineRule="exact"/>
        <w:ind w:left="0" w:leftChars="0" w:right="0"/>
        <w:jc w:val="center"/>
        <w:outlineLvl w:val="0"/>
        <w:rPr>
          <w:rStyle w:val="19"/>
          <w:rFonts w:ascii="Times New Roman" w:hAnsi="Times New Roman" w:eastAsia="黑体"/>
          <w:b w:val="0"/>
          <w:color w:val="auto"/>
          <w:highlight w:val="none"/>
        </w:rPr>
      </w:pPr>
      <w:r>
        <w:rPr>
          <w:rFonts w:hint="eastAsia" w:ascii="Times New Roman" w:hAnsi="Times New Roman" w:eastAsia="黑体"/>
          <w:color w:val="auto"/>
          <w:sz w:val="44"/>
          <w:szCs w:val="44"/>
          <w:highlight w:val="none"/>
          <w:lang w:eastAsia="zh-CN"/>
        </w:rPr>
        <w:t>第三部分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w:t>
      </w:r>
      <w:r>
        <w:rPr>
          <w:rStyle w:val="19"/>
          <w:rFonts w:hint="eastAsia" w:ascii="Times New Roman" w:hAnsi="Times New Roman" w:eastAsia="黑体"/>
          <w:b w:val="0"/>
          <w:color w:val="auto"/>
          <w:highlight w:val="none"/>
        </w:rPr>
        <w:t>词解释</w:t>
      </w:r>
    </w:p>
    <w:p w14:paraId="4ABCABF4">
      <w:pPr>
        <w:pageBreakBefore w:val="0"/>
        <w:kinsoku/>
        <w:wordWrap/>
        <w:overflowPunct/>
        <w:topLinePunct w:val="0"/>
        <w:bidi w:val="0"/>
        <w:spacing w:line="560" w:lineRule="exact"/>
        <w:ind w:left="0" w:leftChars="0" w:right="0"/>
        <w:jc w:val="left"/>
        <w:rPr>
          <w:rFonts w:ascii="Times New Roman" w:hAnsi="Times New Roman"/>
          <w:b/>
          <w:color w:val="auto"/>
          <w:sz w:val="44"/>
          <w:szCs w:val="44"/>
          <w:highlight w:val="none"/>
        </w:rPr>
      </w:pPr>
    </w:p>
    <w:p w14:paraId="7190EF13">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ascii="Times New Roman" w:hAnsi="Times New Roman" w:eastAsia="仿宋_GB2312"/>
          <w:sz w:val="32"/>
          <w:szCs w:val="32"/>
        </w:rPr>
        <w:t>1.</w:t>
      </w:r>
      <w:r>
        <w:rPr>
          <w:rFonts w:hint="eastAsia" w:ascii="Times New Roman" w:hAnsi="Times New Roman" w:eastAsia="仿宋_GB2312"/>
          <w:sz w:val="32"/>
          <w:szCs w:val="32"/>
        </w:rPr>
        <w:t>财政拨款收入：指单位从同级财政部门取得的财政预算资金。</w:t>
      </w:r>
    </w:p>
    <w:p w14:paraId="2AB9F89B">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ascii="Times New Roman" w:hAnsi="Times New Roman" w:eastAsia="仿宋_GB2312"/>
          <w:sz w:val="32"/>
          <w:szCs w:val="32"/>
        </w:rPr>
        <w:t>2.</w:t>
      </w:r>
      <w:r>
        <w:rPr>
          <w:rFonts w:hint="eastAsia" w:ascii="Times New Roman" w:hAnsi="Times New Roman" w:eastAsia="仿宋_GB2312"/>
          <w:sz w:val="32"/>
          <w:szCs w:val="32"/>
        </w:rPr>
        <w:t>事业收入：指事业单位开展专业业务活动及辅助活动取得的收入。</w:t>
      </w:r>
    </w:p>
    <w:p w14:paraId="45A9315B">
      <w:pPr>
        <w:pStyle w:val="22"/>
        <w:pageBreakBefore w:val="0"/>
        <w:kinsoku/>
        <w:wordWrap/>
        <w:overflowPunct/>
        <w:topLinePunct w:val="0"/>
        <w:bidi w:val="0"/>
        <w:spacing w:line="560" w:lineRule="exact"/>
        <w:ind w:left="0" w:leftChars="0" w:firstLine="640" w:firstLineChars="200"/>
        <w:rPr>
          <w:rFonts w:hint="eastAsia" w:ascii="Times New Roman" w:hAnsi="Times New Roman" w:eastAsia="仿宋_GB2312"/>
          <w:sz w:val="32"/>
          <w:szCs w:val="32"/>
        </w:rPr>
      </w:pPr>
      <w:r>
        <w:rPr>
          <w:rFonts w:ascii="Times New Roman" w:hAnsi="Times New Roman" w:eastAsia="仿宋_GB2312"/>
          <w:sz w:val="32"/>
          <w:szCs w:val="32"/>
        </w:rPr>
        <w:t>3.</w:t>
      </w:r>
      <w:r>
        <w:rPr>
          <w:rFonts w:hint="eastAsia" w:ascii="Times New Roman" w:hAnsi="Times New Roman" w:eastAsia="仿宋_GB2312"/>
          <w:sz w:val="32"/>
          <w:szCs w:val="32"/>
        </w:rPr>
        <w:t>经营收入：指事业单位在专业业务活动及其辅助活动之外开展非独立核算经营活动取得的收入。</w:t>
      </w:r>
    </w:p>
    <w:p w14:paraId="19CA4C51">
      <w:pPr>
        <w:pStyle w:val="22"/>
        <w:pageBreakBefore w:val="0"/>
        <w:kinsoku/>
        <w:wordWrap/>
        <w:overflowPunct/>
        <w:topLinePunct w:val="0"/>
        <w:bidi w:val="0"/>
        <w:spacing w:line="560" w:lineRule="exact"/>
        <w:ind w:left="0" w:leftChars="0" w:firstLine="640" w:firstLineChars="200"/>
        <w:rPr>
          <w:rFonts w:hint="eastAsia" w:ascii="Times New Roman" w:hAnsi="Times New Roman" w:eastAsia="仿宋_GB2312"/>
          <w:sz w:val="32"/>
          <w:szCs w:val="32"/>
          <w:lang w:eastAsia="zh-CN"/>
        </w:rPr>
      </w:pPr>
      <w:r>
        <w:rPr>
          <w:rFonts w:ascii="Times New Roman" w:hAnsi="Times New Roman" w:eastAsia="仿宋_GB2312"/>
          <w:sz w:val="32"/>
          <w:szCs w:val="32"/>
        </w:rPr>
        <w:t>4.</w:t>
      </w:r>
      <w:r>
        <w:rPr>
          <w:rFonts w:hint="eastAsia" w:ascii="Times New Roman" w:hAnsi="Times New Roman" w:eastAsia="仿宋_GB2312"/>
          <w:sz w:val="32"/>
          <w:szCs w:val="32"/>
        </w:rPr>
        <w:t>其他收入：指单位取得的除上述收入以外的各项收入。主要</w:t>
      </w:r>
      <w:r>
        <w:rPr>
          <w:rFonts w:hint="eastAsia" w:ascii="Times New Roman" w:hAnsi="Times New Roman" w:eastAsia="仿宋_GB2312"/>
          <w:sz w:val="32"/>
          <w:szCs w:val="32"/>
          <w:lang w:eastAsia="zh-CN"/>
        </w:rPr>
        <w:t>有</w:t>
      </w:r>
      <w:r>
        <w:rPr>
          <w:rFonts w:hint="eastAsia" w:ascii="Times New Roman" w:hAnsi="Times New Roman" w:eastAsia="仿宋_GB2312"/>
          <w:sz w:val="32"/>
          <w:szCs w:val="32"/>
        </w:rPr>
        <w:t>非本级财政拨款、利息收入、其他等。</w:t>
      </w:r>
    </w:p>
    <w:p w14:paraId="7945225F">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ascii="Times New Roman" w:hAnsi="Times New Roman" w:eastAsia="仿宋_GB2312"/>
          <w:sz w:val="32"/>
          <w:szCs w:val="32"/>
        </w:rPr>
        <w:t>5.</w:t>
      </w:r>
      <w:r>
        <w:rPr>
          <w:rFonts w:hint="eastAsia" w:ascii="Times New Roman" w:hAnsi="Times New Roman" w:eastAsia="仿宋_GB2312"/>
          <w:sz w:val="32"/>
          <w:szCs w:val="32"/>
        </w:rPr>
        <w:t>使用非财政拨款结余</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含专用结余</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：指事业单位使用以前年度积累的非财政拨款结余弥补当年收支差额的金额。</w:t>
      </w:r>
    </w:p>
    <w:p w14:paraId="397C4429">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ascii="Times New Roman" w:hAnsi="Times New Roman" w:eastAsia="仿宋_GB2312"/>
          <w:sz w:val="32"/>
          <w:szCs w:val="32"/>
        </w:rPr>
        <w:t>6.</w:t>
      </w:r>
      <w:r>
        <w:rPr>
          <w:rFonts w:hint="eastAsia" w:ascii="Times New Roman" w:hAnsi="Times New Roman" w:eastAsia="仿宋_GB2312"/>
          <w:sz w:val="32"/>
          <w:szCs w:val="32"/>
        </w:rPr>
        <w:t>年初结转和结余：指以前年度尚未完成、结转到本年按有关规定继续使用的资金。</w:t>
      </w:r>
    </w:p>
    <w:p w14:paraId="4C01261E">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ascii="Times New Roman" w:hAnsi="Times New Roman" w:eastAsia="仿宋_GB2312"/>
          <w:sz w:val="32"/>
          <w:szCs w:val="32"/>
        </w:rPr>
        <w:t>7.</w:t>
      </w:r>
      <w:r>
        <w:rPr>
          <w:rFonts w:hint="eastAsia" w:ascii="Times New Roman" w:hAnsi="Times New Roman" w:eastAsia="仿宋_GB2312"/>
          <w:sz w:val="32"/>
          <w:szCs w:val="32"/>
        </w:rPr>
        <w:t>结余分配：指事业单位按照会计制度规定缴纳的所得税、提取的专用结余以及转入非财政拨款结余的金额等。</w:t>
      </w:r>
    </w:p>
    <w:p w14:paraId="4051418C">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ascii="Times New Roman" w:hAnsi="Times New Roman" w:eastAsia="仿宋_GB2312"/>
          <w:sz w:val="32"/>
          <w:szCs w:val="32"/>
        </w:rPr>
        <w:t>8</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年末结转和结余：指单位按有关规定结转到下年或以后年度继续使用的资金。</w:t>
      </w:r>
    </w:p>
    <w:p w14:paraId="54D5F091">
      <w:pPr>
        <w:pageBreakBefore w:val="0"/>
        <w:kinsoku/>
        <w:wordWrap/>
        <w:overflowPunct/>
        <w:topLinePunct w:val="0"/>
        <w:bidi w:val="0"/>
        <w:spacing w:line="560" w:lineRule="exact"/>
        <w:ind w:left="0" w:leftChars="0"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9.</w:t>
      </w:r>
      <w:r>
        <w:rPr>
          <w:rFonts w:hint="eastAsia" w:ascii="Times New Roman" w:hAnsi="Times New Roman" w:eastAsia="仿宋_GB2312"/>
          <w:color w:val="000000"/>
          <w:sz w:val="32"/>
          <w:szCs w:val="32"/>
        </w:rPr>
        <w:t>教育（类）普通教育（款）高等教育（项）：指反映各部门举办的普通本科（包括研究生）教育支出。政府</w:t>
      </w:r>
      <w:r>
        <w:rPr>
          <w:rFonts w:hint="eastAsia" w:ascii="Times New Roman" w:hAnsi="Times New Roman" w:eastAsia="仿宋_GB2312"/>
          <w:color w:val="000000"/>
          <w:sz w:val="32"/>
          <w:szCs w:val="32"/>
          <w:lang w:eastAsia="zh-CN"/>
        </w:rPr>
        <w:t>各</w:t>
      </w:r>
      <w:r>
        <w:rPr>
          <w:rFonts w:hint="eastAsia" w:ascii="Times New Roman" w:hAnsi="Times New Roman" w:eastAsia="仿宋_GB2312"/>
          <w:color w:val="000000"/>
          <w:sz w:val="32"/>
          <w:szCs w:val="32"/>
        </w:rPr>
        <w:t>部门对社会组织</w:t>
      </w:r>
      <w:r>
        <w:rPr>
          <w:rFonts w:hint="eastAsia" w:ascii="Times New Roman" w:hAnsi="Times New Roman" w:eastAsia="仿宋_GB2312"/>
          <w:color w:val="000000"/>
          <w:sz w:val="32"/>
          <w:szCs w:val="32"/>
          <w:lang w:eastAsia="zh-CN"/>
        </w:rPr>
        <w:t>等</w:t>
      </w:r>
      <w:r>
        <w:rPr>
          <w:rFonts w:hint="eastAsia" w:ascii="Times New Roman" w:hAnsi="Times New Roman" w:eastAsia="仿宋_GB2312"/>
          <w:color w:val="000000"/>
          <w:sz w:val="32"/>
          <w:szCs w:val="32"/>
        </w:rPr>
        <w:t>举办的普通本科高等院校（包括研究生）的资助</w:t>
      </w:r>
      <w:r>
        <w:rPr>
          <w:rFonts w:hint="eastAsia" w:ascii="Times New Roman" w:hAnsi="Times New Roman" w:eastAsia="仿宋_GB2312"/>
          <w:color w:val="000000"/>
          <w:sz w:val="32"/>
          <w:szCs w:val="32"/>
          <w:lang w:eastAsia="zh-CN"/>
        </w:rPr>
        <w:t>，</w:t>
      </w:r>
      <w:r>
        <w:rPr>
          <w:rFonts w:hint="eastAsia" w:ascii="Times New Roman" w:hAnsi="Times New Roman" w:eastAsia="仿宋_GB2312"/>
          <w:color w:val="000000"/>
          <w:sz w:val="32"/>
          <w:szCs w:val="32"/>
        </w:rPr>
        <w:t>如捐赠、补贴等，也在本科目中反映。</w:t>
      </w:r>
    </w:p>
    <w:p w14:paraId="37161951">
      <w:pPr>
        <w:pageBreakBefore w:val="0"/>
        <w:kinsoku/>
        <w:wordWrap/>
        <w:overflowPunct/>
        <w:topLinePunct w:val="0"/>
        <w:bidi w:val="0"/>
        <w:spacing w:line="560" w:lineRule="exact"/>
        <w:ind w:left="0" w:leftChars="0" w:firstLine="640" w:firstLineChars="200"/>
        <w:rPr>
          <w:rFonts w:hint="eastAsia"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10.</w:t>
      </w:r>
      <w:r>
        <w:rPr>
          <w:rFonts w:hint="eastAsia" w:ascii="Times New Roman" w:hAnsi="Times New Roman" w:eastAsia="仿宋_GB2312"/>
          <w:color w:val="000000"/>
          <w:sz w:val="32"/>
          <w:szCs w:val="32"/>
        </w:rPr>
        <w:t>科学技术（类）基础研究（款）专项基础研究（项）：指反映</w:t>
      </w:r>
      <w:r>
        <w:rPr>
          <w:rFonts w:hint="eastAsia" w:ascii="Times New Roman" w:hAnsi="Times New Roman" w:eastAsia="仿宋_GB2312"/>
          <w:color w:val="000000"/>
          <w:sz w:val="32"/>
          <w:szCs w:val="32"/>
          <w:lang w:eastAsia="zh-CN"/>
        </w:rPr>
        <w:t>用于专项基础科研方面的支出</w:t>
      </w:r>
      <w:r>
        <w:rPr>
          <w:rFonts w:hint="eastAsia" w:ascii="Times New Roman" w:hAnsi="Times New Roman" w:eastAsia="仿宋_GB2312"/>
          <w:color w:val="000000"/>
          <w:sz w:val="32"/>
          <w:szCs w:val="32"/>
        </w:rPr>
        <w:t>。</w:t>
      </w:r>
    </w:p>
    <w:p w14:paraId="27633520">
      <w:pPr>
        <w:pStyle w:val="22"/>
        <w:pageBreakBefore w:val="0"/>
        <w:kinsoku/>
        <w:wordWrap/>
        <w:overflowPunct/>
        <w:topLinePunct w:val="0"/>
        <w:bidi w:val="0"/>
        <w:spacing w:line="560" w:lineRule="exact"/>
        <w:ind w:left="0" w:leftChars="0"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lang w:val="en-US" w:eastAsia="zh-CN"/>
        </w:rPr>
        <w:t>11.</w:t>
      </w:r>
      <w:r>
        <w:rPr>
          <w:rFonts w:hint="eastAsia" w:ascii="Times New Roman" w:hAnsi="Times New Roman" w:eastAsia="仿宋_GB2312"/>
          <w:sz w:val="32"/>
          <w:szCs w:val="32"/>
        </w:rPr>
        <w:t>科学技术（类）技术研究与开发（款） 科技成果转化与扩散（项）：</w:t>
      </w:r>
      <w:r>
        <w:rPr>
          <w:rFonts w:hint="eastAsia" w:ascii="Times New Roman" w:hAnsi="Times New Roman" w:eastAsia="仿宋_GB2312"/>
          <w:sz w:val="32"/>
          <w:szCs w:val="32"/>
          <w:lang w:eastAsia="zh-CN"/>
        </w:rPr>
        <w:t>指反映促进科技成果转化为现实生产力的应用、推广和引导性支出，以及基本建设支出中用于支持企业科技自主创新的支出。</w:t>
      </w:r>
    </w:p>
    <w:p w14:paraId="1B987E18">
      <w:pPr>
        <w:pStyle w:val="22"/>
        <w:pageBreakBefore w:val="0"/>
        <w:kinsoku/>
        <w:wordWrap/>
        <w:overflowPunct/>
        <w:topLinePunct w:val="0"/>
        <w:bidi w:val="0"/>
        <w:spacing w:line="560" w:lineRule="exact"/>
        <w:ind w:left="0" w:leftChars="0"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lang w:val="en-US" w:eastAsia="zh-CN"/>
        </w:rPr>
        <w:t>12.</w:t>
      </w:r>
      <w:r>
        <w:rPr>
          <w:rFonts w:hint="eastAsia" w:ascii="Times New Roman" w:hAnsi="Times New Roman" w:eastAsia="仿宋_GB2312"/>
          <w:sz w:val="32"/>
          <w:szCs w:val="32"/>
        </w:rPr>
        <w:t>科学技术（类）科技重大项目（款）重点研发计划（项）：指反映用于</w:t>
      </w:r>
      <w:r>
        <w:rPr>
          <w:rFonts w:hint="eastAsia" w:ascii="Times New Roman" w:hAnsi="Times New Roman" w:eastAsia="仿宋_GB2312"/>
          <w:sz w:val="32"/>
          <w:szCs w:val="32"/>
          <w:lang w:eastAsia="zh-CN"/>
        </w:rPr>
        <w:t>重点研发计划的有关</w:t>
      </w:r>
      <w:r>
        <w:rPr>
          <w:rFonts w:hint="eastAsia" w:ascii="Times New Roman" w:hAnsi="Times New Roman" w:eastAsia="仿宋_GB2312"/>
          <w:sz w:val="32"/>
          <w:szCs w:val="32"/>
        </w:rPr>
        <w:t>经费支出。</w:t>
      </w:r>
    </w:p>
    <w:p w14:paraId="52204417">
      <w:pPr>
        <w:pStyle w:val="22"/>
        <w:pageBreakBefore w:val="0"/>
        <w:kinsoku/>
        <w:wordWrap/>
        <w:overflowPunct/>
        <w:topLinePunct w:val="0"/>
        <w:bidi w:val="0"/>
        <w:spacing w:line="560" w:lineRule="exact"/>
        <w:ind w:left="0" w:leftChars="0" w:firstLine="640" w:firstLineChars="200"/>
        <w:rPr>
          <w:rFonts w:hint="eastAsia" w:ascii="Times New Roman" w:hAnsi="Times New Roman" w:eastAsia="仿宋_GB2312"/>
          <w:sz w:val="32"/>
          <w:szCs w:val="32"/>
          <w:lang w:val="en-US" w:eastAsia="zh-CN"/>
        </w:rPr>
      </w:pPr>
      <w:r>
        <w:rPr>
          <w:rFonts w:hint="eastAsia" w:ascii="Times New Roman" w:hAnsi="Times New Roman" w:eastAsia="仿宋_GB2312"/>
          <w:sz w:val="32"/>
          <w:szCs w:val="32"/>
          <w:lang w:val="en-US" w:eastAsia="zh-CN"/>
        </w:rPr>
        <w:t>13.</w:t>
      </w:r>
      <w:r>
        <w:rPr>
          <w:rFonts w:hint="eastAsia" w:ascii="Times New Roman" w:hAnsi="Times New Roman" w:eastAsia="仿宋_GB2312"/>
          <w:sz w:val="32"/>
          <w:szCs w:val="32"/>
        </w:rPr>
        <w:t>科学技术（类）其他科学技术支出（款）其他科学技术支出（项）：</w:t>
      </w:r>
      <w:r>
        <w:rPr>
          <w:rFonts w:hint="eastAsia" w:ascii="Times New Roman" w:hAnsi="Times New Roman" w:eastAsia="仿宋_GB2312"/>
          <w:sz w:val="32"/>
          <w:szCs w:val="32"/>
          <w:lang w:eastAsia="zh-CN"/>
        </w:rPr>
        <w:t>指反映其他科学技术中除以上各项外用于科技方面的支出。</w:t>
      </w:r>
    </w:p>
    <w:p w14:paraId="2E896250">
      <w:pPr>
        <w:pStyle w:val="22"/>
        <w:pageBreakBefore w:val="0"/>
        <w:kinsoku/>
        <w:wordWrap/>
        <w:overflowPunct/>
        <w:topLinePunct w:val="0"/>
        <w:bidi w:val="0"/>
        <w:spacing w:line="560" w:lineRule="exact"/>
        <w:ind w:left="0" w:leftChars="0"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1</w:t>
      </w:r>
      <w:r>
        <w:rPr>
          <w:rFonts w:hint="eastAsia" w:ascii="Times New Roman" w:hAnsi="Times New Roman" w:eastAsia="仿宋_GB2312"/>
          <w:sz w:val="32"/>
          <w:szCs w:val="32"/>
          <w:lang w:val="en-US" w:eastAsia="zh-CN"/>
        </w:rPr>
        <w:t>4</w:t>
      </w:r>
      <w:r>
        <w:rPr>
          <w:rFonts w:hint="eastAsia" w:ascii="Times New Roman" w:hAnsi="Times New Roman" w:eastAsia="仿宋_GB2312"/>
          <w:sz w:val="32"/>
          <w:szCs w:val="32"/>
        </w:rPr>
        <w:t>.社会保障和就业支出（类）行政事业单位养老支出（款）事业单位离退休（项）：指反映事业单位开支的离退休经费。</w:t>
      </w:r>
    </w:p>
    <w:p w14:paraId="3C77AE70">
      <w:pPr>
        <w:pStyle w:val="22"/>
        <w:pageBreakBefore w:val="0"/>
        <w:kinsoku/>
        <w:wordWrap/>
        <w:overflowPunct/>
        <w:topLinePunct w:val="0"/>
        <w:bidi w:val="0"/>
        <w:spacing w:line="560" w:lineRule="exact"/>
        <w:ind w:left="0" w:leftChars="0"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lang w:val="en-US" w:eastAsia="zh-CN"/>
        </w:rPr>
        <w:t>15</w:t>
      </w:r>
      <w:r>
        <w:rPr>
          <w:rFonts w:hint="eastAsia" w:ascii="Times New Roman" w:hAnsi="Times New Roman" w:eastAsia="仿宋_GB2312"/>
          <w:sz w:val="32"/>
          <w:szCs w:val="32"/>
        </w:rPr>
        <w:t>.卫生健康支出（类）公共卫生（款）</w:t>
      </w:r>
      <w:r>
        <w:rPr>
          <w:rFonts w:hint="eastAsia" w:ascii="Times New Roman" w:hAnsi="Times New Roman" w:eastAsia="仿宋_GB2312"/>
          <w:sz w:val="32"/>
          <w:szCs w:val="32"/>
          <w:lang w:eastAsia="zh-CN"/>
        </w:rPr>
        <w:t>重大</w:t>
      </w:r>
      <w:r>
        <w:rPr>
          <w:rFonts w:hint="eastAsia" w:ascii="Times New Roman" w:hAnsi="Times New Roman" w:eastAsia="仿宋_GB2312"/>
          <w:sz w:val="32"/>
          <w:szCs w:val="32"/>
        </w:rPr>
        <w:t>公共卫生服务（项）：指反映</w:t>
      </w:r>
      <w:r>
        <w:rPr>
          <w:rFonts w:hint="eastAsia" w:ascii="Times New Roman" w:hAnsi="Times New Roman" w:eastAsia="仿宋_GB2312"/>
          <w:sz w:val="32"/>
          <w:szCs w:val="32"/>
          <w:lang w:eastAsia="zh-CN"/>
        </w:rPr>
        <w:t>重大疾病、重大传染病预防控制等重大公共卫生服务项目</w:t>
      </w:r>
      <w:r>
        <w:rPr>
          <w:rFonts w:hint="eastAsia" w:ascii="Times New Roman" w:hAnsi="Times New Roman" w:eastAsia="仿宋_GB2312"/>
          <w:sz w:val="32"/>
          <w:szCs w:val="32"/>
        </w:rPr>
        <w:t>支出。</w:t>
      </w:r>
    </w:p>
    <w:p w14:paraId="0CFE3FBC">
      <w:pPr>
        <w:pageBreakBefore w:val="0"/>
        <w:kinsoku/>
        <w:wordWrap/>
        <w:overflowPunct/>
        <w:topLinePunct w:val="0"/>
        <w:bidi w:val="0"/>
        <w:spacing w:line="560" w:lineRule="exact"/>
        <w:ind w:left="0" w:leftChars="0"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color w:val="000000"/>
          <w:sz w:val="32"/>
          <w:szCs w:val="32"/>
          <w:lang w:val="en-US" w:eastAsia="zh-CN"/>
        </w:rPr>
        <w:t>6</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卫生健康支出（类）中医药（款）中医（民族医）药专项（项）：指反映中医（民族医）药方面的专项支出。</w:t>
      </w:r>
    </w:p>
    <w:p w14:paraId="3AC291CB">
      <w:pPr>
        <w:pageBreakBefore w:val="0"/>
        <w:kinsoku/>
        <w:wordWrap/>
        <w:overflowPunct/>
        <w:topLinePunct w:val="0"/>
        <w:bidi w:val="0"/>
        <w:spacing w:line="560" w:lineRule="exact"/>
        <w:ind w:left="0" w:leftChars="0"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1</w:t>
      </w:r>
      <w:r>
        <w:rPr>
          <w:rFonts w:hint="eastAsia" w:ascii="Times New Roman" w:hAnsi="Times New Roman" w:eastAsia="仿宋_GB2312"/>
          <w:color w:val="000000"/>
          <w:sz w:val="32"/>
          <w:szCs w:val="32"/>
          <w:lang w:val="en-US" w:eastAsia="zh-CN"/>
        </w:rPr>
        <w:t>7</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卫生健康支出（类）其他卫生健康支出（款） 其他卫生健康支出（项）：指反映</w:t>
      </w:r>
      <w:r>
        <w:rPr>
          <w:rFonts w:hint="eastAsia" w:ascii="Times New Roman" w:hAnsi="Times New Roman" w:eastAsia="仿宋_GB2312"/>
          <w:color w:val="000000"/>
          <w:sz w:val="32"/>
          <w:szCs w:val="32"/>
          <w:lang w:eastAsia="zh-CN"/>
        </w:rPr>
        <w:t>除</w:t>
      </w:r>
      <w:r>
        <w:rPr>
          <w:rFonts w:hint="eastAsia" w:ascii="Times New Roman" w:hAnsi="Times New Roman" w:eastAsia="仿宋_GB2312"/>
          <w:color w:val="000000"/>
          <w:sz w:val="32"/>
          <w:szCs w:val="32"/>
        </w:rPr>
        <w:t>上述项目以外其他用于卫生健康支出方面的支出。</w:t>
      </w:r>
    </w:p>
    <w:p w14:paraId="22C63988">
      <w:pPr>
        <w:pageBreakBefore w:val="0"/>
        <w:kinsoku/>
        <w:wordWrap/>
        <w:overflowPunct/>
        <w:topLinePunct w:val="0"/>
        <w:bidi w:val="0"/>
        <w:spacing w:line="560" w:lineRule="exact"/>
        <w:ind w:left="0" w:leftChars="0" w:firstLine="640" w:firstLineChars="200"/>
        <w:rPr>
          <w:rFonts w:hint="default" w:ascii="Times New Roman" w:hAnsi="Times New Roman" w:eastAsia="仿宋_GB2312"/>
          <w:color w:val="000000"/>
          <w:sz w:val="32"/>
          <w:szCs w:val="32"/>
          <w:highlight w:val="none"/>
          <w:lang w:val="en-US" w:eastAsia="zh-CN"/>
        </w:rPr>
      </w:pPr>
      <w:r>
        <w:rPr>
          <w:rFonts w:hint="eastAsia" w:ascii="Times New Roman" w:hAnsi="Times New Roman" w:eastAsia="仿宋_GB2312"/>
          <w:color w:val="000000"/>
          <w:sz w:val="32"/>
          <w:szCs w:val="32"/>
          <w:highlight w:val="none"/>
          <w:lang w:val="en-US" w:eastAsia="zh-CN"/>
        </w:rPr>
        <w:t>18</w:t>
      </w:r>
      <w:r>
        <w:rPr>
          <w:rFonts w:ascii="Times New Roman" w:hAnsi="Times New Roman" w:eastAsia="仿宋_GB2312"/>
          <w:color w:val="000000"/>
          <w:sz w:val="32"/>
          <w:szCs w:val="32"/>
          <w:highlight w:val="none"/>
        </w:rPr>
        <w:t>.</w:t>
      </w:r>
      <w:r>
        <w:rPr>
          <w:rFonts w:hint="eastAsia" w:ascii="Times New Roman" w:hAnsi="Times New Roman" w:eastAsia="仿宋_GB2312"/>
          <w:color w:val="000000"/>
          <w:sz w:val="32"/>
          <w:szCs w:val="32"/>
          <w:highlight w:val="none"/>
        </w:rPr>
        <w:t>债务付息支出（类）地方政府一般债务付息支出（款）地方政府其他一般债务付息支出（项）</w:t>
      </w:r>
      <w:r>
        <w:rPr>
          <w:rFonts w:hint="eastAsia" w:ascii="Times New Roman" w:hAnsi="Times New Roman" w:eastAsia="仿宋_GB2312"/>
          <w:color w:val="000000"/>
          <w:sz w:val="32"/>
          <w:szCs w:val="32"/>
          <w:highlight w:val="none"/>
          <w:lang w:eastAsia="zh-CN"/>
        </w:rPr>
        <w:t>：</w:t>
      </w:r>
      <w:r>
        <w:rPr>
          <w:rFonts w:hint="eastAsia" w:ascii="Times New Roman" w:hAnsi="Times New Roman" w:eastAsia="仿宋_GB2312"/>
          <w:color w:val="000000"/>
          <w:sz w:val="32"/>
          <w:szCs w:val="32"/>
          <w:highlight w:val="none"/>
          <w:lang w:val="en-US" w:eastAsia="zh-CN"/>
        </w:rPr>
        <w:t>指反映地方政府用于归还其他一般债务利息所发生的支出。</w:t>
      </w:r>
    </w:p>
    <w:p w14:paraId="38C2E5A3">
      <w:pPr>
        <w:pageBreakBefore w:val="0"/>
        <w:kinsoku/>
        <w:wordWrap/>
        <w:overflowPunct/>
        <w:topLinePunct w:val="0"/>
        <w:bidi w:val="0"/>
        <w:spacing w:line="560" w:lineRule="exact"/>
        <w:ind w:left="0" w:leftChars="0" w:firstLine="640" w:firstLineChars="200"/>
        <w:rPr>
          <w:rFonts w:ascii="Times New Roman" w:hAnsi="Times New Roman" w:eastAsia="仿宋_GB2312"/>
          <w:color w:val="000000"/>
          <w:sz w:val="32"/>
          <w:szCs w:val="32"/>
        </w:rPr>
      </w:pPr>
      <w:r>
        <w:rPr>
          <w:rFonts w:hint="eastAsia" w:ascii="Times New Roman" w:hAnsi="Times New Roman" w:eastAsia="仿宋_GB2312"/>
          <w:color w:val="000000"/>
          <w:sz w:val="32"/>
          <w:szCs w:val="32"/>
          <w:lang w:val="en-US" w:eastAsia="zh-CN"/>
        </w:rPr>
        <w:t>19</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基本支出：指为保障机构正常运转、完成日常工作任务而发生的人员支出和公用支出。</w:t>
      </w:r>
    </w:p>
    <w:p w14:paraId="4E1510E9">
      <w:pPr>
        <w:pageBreakBefore w:val="0"/>
        <w:kinsoku/>
        <w:wordWrap/>
        <w:overflowPunct/>
        <w:topLinePunct w:val="0"/>
        <w:bidi w:val="0"/>
        <w:spacing w:line="560" w:lineRule="exact"/>
        <w:ind w:left="0" w:leftChars="0"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Times New Roman" w:hAnsi="Times New Roman" w:eastAsia="仿宋_GB2312"/>
          <w:color w:val="000000"/>
          <w:sz w:val="32"/>
          <w:szCs w:val="32"/>
          <w:lang w:val="en-US" w:eastAsia="zh-CN"/>
        </w:rPr>
        <w:t>0</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项目支出：指在基本支出之外为完成特定行政任务和事业发展目标所发生的支出。</w:t>
      </w:r>
    </w:p>
    <w:p w14:paraId="7381EC02">
      <w:pPr>
        <w:pageBreakBefore w:val="0"/>
        <w:kinsoku/>
        <w:wordWrap/>
        <w:overflowPunct/>
        <w:topLinePunct w:val="0"/>
        <w:bidi w:val="0"/>
        <w:spacing w:line="560" w:lineRule="exact"/>
        <w:ind w:left="0" w:leftChars="0" w:firstLine="640" w:firstLineChars="200"/>
        <w:rPr>
          <w:rFonts w:ascii="Times New Roman" w:hAnsi="Times New Roman" w:eastAsia="仿宋_GB2312"/>
          <w:color w:val="000000"/>
          <w:sz w:val="32"/>
          <w:szCs w:val="32"/>
        </w:rPr>
      </w:pPr>
      <w:r>
        <w:rPr>
          <w:rFonts w:ascii="Times New Roman" w:hAnsi="Times New Roman" w:eastAsia="仿宋_GB2312"/>
          <w:color w:val="000000"/>
          <w:sz w:val="32"/>
          <w:szCs w:val="32"/>
        </w:rPr>
        <w:t>2</w:t>
      </w:r>
      <w:r>
        <w:rPr>
          <w:rFonts w:hint="eastAsia" w:ascii="Times New Roman" w:hAnsi="Times New Roman" w:eastAsia="仿宋_GB2312"/>
          <w:color w:val="000000"/>
          <w:sz w:val="32"/>
          <w:szCs w:val="32"/>
          <w:lang w:val="en-US" w:eastAsia="zh-CN"/>
        </w:rPr>
        <w:t>1</w:t>
      </w:r>
      <w:r>
        <w:rPr>
          <w:rFonts w:ascii="Times New Roman" w:hAnsi="Times New Roman" w:eastAsia="仿宋_GB2312"/>
          <w:color w:val="000000"/>
          <w:sz w:val="32"/>
          <w:szCs w:val="32"/>
        </w:rPr>
        <w:t>.</w:t>
      </w:r>
      <w:r>
        <w:rPr>
          <w:rFonts w:hint="eastAsia" w:ascii="Times New Roman" w:hAnsi="Times New Roman" w:eastAsia="仿宋_GB2312"/>
          <w:color w:val="000000"/>
          <w:sz w:val="32"/>
          <w:szCs w:val="32"/>
        </w:rPr>
        <w:t>经营支出：指事业单位在专业业务活动及其辅助活动之外开展非独立核算经营活动发生的支出。</w:t>
      </w:r>
    </w:p>
    <w:p w14:paraId="13BC412D">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w:t>
      </w:r>
      <w:r>
        <w:rPr>
          <w:rFonts w:hint="eastAsia" w:ascii="Times New Roman" w:hAnsi="Times New Roman" w:eastAsia="仿宋_GB2312"/>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72DC95A">
      <w:pPr>
        <w:pStyle w:val="22"/>
        <w:pageBreakBefore w:val="0"/>
        <w:kinsoku/>
        <w:wordWrap/>
        <w:overflowPunct/>
        <w:topLinePunct w:val="0"/>
        <w:bidi w:val="0"/>
        <w:spacing w:line="560" w:lineRule="exact"/>
        <w:ind w:left="0" w:leftChars="0"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hint="eastAsia" w:ascii="Times New Roman" w:hAnsi="Times New Roman" w:eastAsia="仿宋_GB2312"/>
          <w:sz w:val="32"/>
          <w:szCs w:val="32"/>
          <w:lang w:val="en-US" w:eastAsia="zh-CN"/>
        </w:rPr>
        <w:t>3</w:t>
      </w:r>
      <w:r>
        <w:rPr>
          <w:rFonts w:ascii="Times New Roman" w:hAnsi="Times New Roman" w:eastAsia="仿宋_GB2312"/>
          <w:sz w:val="32"/>
          <w:szCs w:val="32"/>
        </w:rPr>
        <w:t>.</w:t>
      </w:r>
      <w:r>
        <w:rPr>
          <w:rFonts w:hint="eastAsia" w:ascii="Times New Roman" w:hAnsi="Times New Roman"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DB12131">
      <w:pPr>
        <w:pageBreakBefore w:val="0"/>
        <w:kinsoku/>
        <w:wordWrap/>
        <w:overflowPunct/>
        <w:topLinePunct w:val="0"/>
        <w:bidi w:val="0"/>
        <w:spacing w:line="560" w:lineRule="exact"/>
        <w:ind w:left="-199" w:leftChars="-95" w:right="0" w:firstLine="0" w:firstLineChars="0"/>
        <w:jc w:val="center"/>
        <w:outlineLvl w:val="0"/>
        <w:rPr>
          <w:rStyle w:val="19"/>
          <w:rFonts w:ascii="Times New Roman" w:hAnsi="Times New Roman" w:eastAsia="黑体"/>
          <w:b w:val="0"/>
          <w:color w:val="FF0000"/>
          <w:highlight w:val="none"/>
        </w:rPr>
      </w:pPr>
      <w:r>
        <w:rPr>
          <w:rFonts w:ascii="Times New Roman" w:hAnsi="Times New Roman"/>
          <w:b/>
          <w:color w:val="auto"/>
          <w:sz w:val="44"/>
          <w:szCs w:val="44"/>
          <w:highlight w:val="none"/>
        </w:rPr>
        <w:br w:type="page"/>
      </w:r>
      <w:r>
        <w:rPr>
          <w:rFonts w:hint="eastAsia" w:ascii="Times New Roman" w:hAnsi="Times New Roman" w:eastAsia="黑体"/>
          <w:color w:val="auto"/>
          <w:sz w:val="44"/>
          <w:szCs w:val="44"/>
          <w:highlight w:val="none"/>
        </w:rPr>
        <w:t>第</w:t>
      </w:r>
      <w:r>
        <w:rPr>
          <w:rStyle w:val="19"/>
          <w:rFonts w:hint="eastAsia" w:ascii="Times New Roman" w:hAnsi="Times New Roman" w:eastAsia="黑体"/>
          <w:b w:val="0"/>
          <w:color w:val="auto"/>
          <w:highlight w:val="none"/>
        </w:rPr>
        <w:t>四部分 附件</w:t>
      </w:r>
    </w:p>
    <w:p w14:paraId="6B76A52F">
      <w:pPr>
        <w:keepNext w:val="0"/>
        <w:keepLines w:val="0"/>
        <w:pageBreakBefore w:val="0"/>
        <w:kinsoku/>
        <w:wordWrap/>
        <w:overflowPunct/>
        <w:topLinePunct w:val="0"/>
        <w:autoSpaceDE/>
        <w:autoSpaceDN/>
        <w:bidi w:val="0"/>
        <w:spacing w:line="560" w:lineRule="exact"/>
        <w:ind w:left="0" w:right="0"/>
        <w:jc w:val="left"/>
        <w:textAlignment w:val="auto"/>
        <w:outlineLvl w:val="0"/>
        <w:rPr>
          <w:rFonts w:ascii="Times New Roman" w:hAnsi="Times New Roman" w:eastAsia="仿宋_GB2312" w:cs="仿宋_GB2312"/>
          <w:color w:val="auto"/>
          <w:sz w:val="32"/>
          <w:szCs w:val="32"/>
          <w:highlight w:val="none"/>
        </w:rPr>
      </w:pPr>
    </w:p>
    <w:p w14:paraId="34FBA39A">
      <w:pPr>
        <w:pageBreakBefore w:val="0"/>
        <w:kinsoku/>
        <w:wordWrap/>
        <w:overflowPunct/>
        <w:topLinePunct w:val="0"/>
        <w:bidi w:val="0"/>
        <w:spacing w:line="560" w:lineRule="exact"/>
        <w:ind w:left="0" w:right="0" w:firstLine="640" w:firstLineChars="200"/>
        <w:jc w:val="left"/>
        <w:outlineLvl w:val="0"/>
        <w:rPr>
          <w:rFonts w:hint="eastAsia" w:ascii="Times New Roman" w:hAnsi="Times New Roman" w:eastAsia="仿宋_GB2312" w:cs="仿宋"/>
          <w:color w:val="auto"/>
          <w:kern w:val="0"/>
          <w:sz w:val="32"/>
          <w:szCs w:val="32"/>
          <w:highlight w:val="none"/>
          <w:lang w:val="en-US" w:eastAsia="zh-CN" w:bidi="ar-SA"/>
        </w:rPr>
      </w:pPr>
      <w:r>
        <w:rPr>
          <w:rFonts w:hint="eastAsia" w:ascii="Times New Roman" w:hAnsi="Times New Roman" w:eastAsia="仿宋_GB2312" w:cs="仿宋"/>
          <w:color w:val="auto"/>
          <w:kern w:val="0"/>
          <w:sz w:val="32"/>
          <w:szCs w:val="32"/>
          <w:highlight w:val="none"/>
          <w:lang w:val="en-US" w:eastAsia="zh-CN" w:bidi="ar-SA"/>
        </w:rPr>
        <w:t>部门预算项目支出绩效自评表（2023年度）</w:t>
      </w:r>
    </w:p>
    <w:p w14:paraId="7639991F">
      <w:pPr>
        <w:pStyle w:val="7"/>
        <w:keepNext w:val="0"/>
        <w:keepLines w:val="0"/>
        <w:pageBreakBefore w:val="0"/>
        <w:numPr>
          <w:ilvl w:val="0"/>
          <w:numId w:val="0"/>
        </w:numPr>
        <w:kinsoku/>
        <w:wordWrap/>
        <w:overflowPunct/>
        <w:topLinePunct w:val="0"/>
        <w:autoSpaceDE/>
        <w:autoSpaceDN/>
        <w:bidi w:val="0"/>
        <w:spacing w:after="0" w:line="560" w:lineRule="exact"/>
        <w:ind w:left="0" w:right="0" w:firstLine="480" w:firstLineChars="200"/>
        <w:jc w:val="left"/>
        <w:textAlignment w:val="auto"/>
        <w:rPr>
          <w:rFonts w:hint="eastAsia" w:ascii="Times New Roman" w:hAnsi="Times New Roman" w:cs="Times New Roman"/>
          <w:sz w:val="32"/>
          <w:szCs w:val="32"/>
          <w:highlight w:val="none"/>
          <w:lang w:val="en-US" w:eastAsia="zh-CN"/>
        </w:rPr>
      </w:pPr>
      <w:r>
        <w:rPr>
          <w:rFonts w:ascii="Times New Roman" w:hAnsi="Times New Roman"/>
        </w:rPr>
        <w:drawing>
          <wp:anchor distT="0" distB="0" distL="114300" distR="114300" simplePos="0" relativeHeight="251666432" behindDoc="0" locked="0" layoutInCell="1" allowOverlap="1">
            <wp:simplePos x="0" y="0"/>
            <wp:positionH relativeFrom="column">
              <wp:posOffset>-63500</wp:posOffset>
            </wp:positionH>
            <wp:positionV relativeFrom="paragraph">
              <wp:posOffset>269875</wp:posOffset>
            </wp:positionV>
            <wp:extent cx="5572125" cy="3975100"/>
            <wp:effectExtent l="0" t="0" r="9525" b="635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572125" cy="3975100"/>
                    </a:xfrm>
                    <a:prstGeom prst="rect">
                      <a:avLst/>
                    </a:prstGeom>
                    <a:noFill/>
                    <a:ln>
                      <a:noFill/>
                    </a:ln>
                  </pic:spPr>
                </pic:pic>
              </a:graphicData>
            </a:graphic>
          </wp:anchor>
        </w:drawing>
      </w:r>
    </w:p>
    <w:p w14:paraId="365860A1">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304DA07E">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0291F344">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5960C0E5">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153C5BEA">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35D765F5">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25679A24">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215B91AD">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3C2075AC">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71B6A611">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6A40AA18">
      <w:pPr>
        <w:pStyle w:val="2"/>
        <w:pageBreakBefore w:val="0"/>
        <w:kinsoku/>
        <w:wordWrap/>
        <w:overflowPunct/>
        <w:topLinePunct w:val="0"/>
        <w:bidi w:val="0"/>
        <w:spacing w:after="0" w:line="560" w:lineRule="exact"/>
        <w:ind w:left="0" w:right="0"/>
        <w:jc w:val="left"/>
        <w:rPr>
          <w:rFonts w:hint="eastAsia" w:ascii="Times New Roman" w:hAnsi="Times New Roman" w:eastAsia="仿宋_GB2312" w:cs="仿宋"/>
          <w:color w:val="auto"/>
          <w:kern w:val="0"/>
          <w:sz w:val="32"/>
          <w:szCs w:val="32"/>
          <w:highlight w:val="none"/>
          <w:lang w:val="en-US" w:eastAsia="zh-CN" w:bidi="ar-SA"/>
        </w:rPr>
      </w:pPr>
    </w:p>
    <w:p w14:paraId="41BD93B0">
      <w:pPr>
        <w:pageBreakBefore w:val="0"/>
        <w:kinsoku/>
        <w:wordWrap/>
        <w:overflowPunct/>
        <w:topLinePunct w:val="0"/>
        <w:bidi w:val="0"/>
        <w:spacing w:line="560" w:lineRule="exact"/>
        <w:ind w:left="0" w:right="0"/>
        <w:jc w:val="left"/>
        <w:rPr>
          <w:rFonts w:hint="eastAsia" w:ascii="Times New Roman" w:hAnsi="Times New Roman" w:eastAsia="黑体"/>
          <w:color w:val="auto"/>
          <w:sz w:val="44"/>
          <w:szCs w:val="44"/>
          <w:highlight w:val="none"/>
        </w:rPr>
      </w:pPr>
      <w:r>
        <w:rPr>
          <w:rFonts w:hint="eastAsia" w:ascii="Times New Roman" w:hAnsi="Times New Roman" w:eastAsia="黑体"/>
          <w:color w:val="auto"/>
          <w:sz w:val="44"/>
          <w:szCs w:val="44"/>
          <w:highlight w:val="none"/>
        </w:rPr>
        <w:br w:type="page"/>
      </w:r>
    </w:p>
    <w:p w14:paraId="1F676689">
      <w:pPr>
        <w:pStyle w:val="2"/>
        <w:rPr>
          <w:rFonts w:hint="eastAsia" w:ascii="Times New Roman" w:hAnsi="Times New Roman" w:eastAsia="黑体"/>
          <w:color w:val="auto"/>
          <w:sz w:val="44"/>
          <w:szCs w:val="44"/>
          <w:highlight w:val="none"/>
        </w:rPr>
      </w:pPr>
    </w:p>
    <w:p w14:paraId="629D1428">
      <w:pPr>
        <w:pStyle w:val="2"/>
        <w:rPr>
          <w:rFonts w:hint="eastAsia" w:ascii="Times New Roman" w:hAnsi="Times New Roman" w:eastAsia="黑体"/>
          <w:color w:val="auto"/>
          <w:sz w:val="44"/>
          <w:szCs w:val="44"/>
          <w:highlight w:val="none"/>
        </w:rPr>
      </w:pPr>
      <w:r>
        <w:rPr>
          <w:rFonts w:ascii="Times New Roman" w:hAnsi="Times New Roman"/>
        </w:rPr>
        <w:drawing>
          <wp:inline distT="0" distB="0" distL="114300" distR="114300">
            <wp:extent cx="5572125" cy="4063365"/>
            <wp:effectExtent l="0" t="0" r="952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572125" cy="4063365"/>
                    </a:xfrm>
                    <a:prstGeom prst="rect">
                      <a:avLst/>
                    </a:prstGeom>
                    <a:noFill/>
                    <a:ln>
                      <a:noFill/>
                    </a:ln>
                  </pic:spPr>
                </pic:pic>
              </a:graphicData>
            </a:graphic>
          </wp:inline>
        </w:drawing>
      </w:r>
    </w:p>
    <w:p w14:paraId="62AFDB5E">
      <w:pPr>
        <w:pStyle w:val="2"/>
        <w:rPr>
          <w:rFonts w:ascii="Times New Roman" w:hAnsi="Times New Roman"/>
        </w:rPr>
      </w:pPr>
    </w:p>
    <w:p w14:paraId="4AB9E25F">
      <w:pPr>
        <w:pStyle w:val="2"/>
        <w:rPr>
          <w:rFonts w:ascii="Times New Roman" w:hAnsi="Times New Roman"/>
        </w:rPr>
      </w:pPr>
    </w:p>
    <w:p w14:paraId="42A5B673">
      <w:pPr>
        <w:pStyle w:val="2"/>
        <w:rPr>
          <w:rFonts w:ascii="Times New Roman" w:hAnsi="Times New Roman"/>
        </w:rPr>
      </w:pPr>
    </w:p>
    <w:p w14:paraId="43493042">
      <w:pPr>
        <w:pStyle w:val="2"/>
        <w:rPr>
          <w:rFonts w:ascii="Times New Roman" w:hAnsi="Times New Roman"/>
        </w:rPr>
      </w:pPr>
    </w:p>
    <w:p w14:paraId="573D69F9">
      <w:pPr>
        <w:pStyle w:val="2"/>
        <w:rPr>
          <w:rFonts w:ascii="Times New Roman" w:hAnsi="Times New Roman"/>
        </w:rPr>
      </w:pPr>
    </w:p>
    <w:p w14:paraId="0B3CC69F">
      <w:pPr>
        <w:pStyle w:val="2"/>
        <w:rPr>
          <w:rFonts w:ascii="Times New Roman" w:hAnsi="Times New Roman"/>
        </w:rPr>
      </w:pPr>
    </w:p>
    <w:p w14:paraId="63744A0F">
      <w:pPr>
        <w:pStyle w:val="2"/>
        <w:rPr>
          <w:rFonts w:ascii="Times New Roman" w:hAnsi="Times New Roman"/>
        </w:rPr>
      </w:pPr>
    </w:p>
    <w:p w14:paraId="4D173FAB">
      <w:pPr>
        <w:pStyle w:val="2"/>
        <w:rPr>
          <w:rFonts w:ascii="Times New Roman" w:hAnsi="Times New Roman"/>
        </w:rPr>
      </w:pPr>
    </w:p>
    <w:p w14:paraId="2CA932FF">
      <w:pPr>
        <w:pStyle w:val="2"/>
        <w:rPr>
          <w:rFonts w:ascii="Times New Roman" w:hAnsi="Times New Roman"/>
        </w:rPr>
      </w:pPr>
    </w:p>
    <w:p w14:paraId="6AEC31DB">
      <w:pPr>
        <w:pStyle w:val="2"/>
        <w:rPr>
          <w:rFonts w:ascii="Times New Roman" w:hAnsi="Times New Roman"/>
        </w:rPr>
      </w:pPr>
    </w:p>
    <w:p w14:paraId="7834342E">
      <w:pPr>
        <w:pStyle w:val="2"/>
        <w:rPr>
          <w:rFonts w:ascii="Times New Roman" w:hAnsi="Times New Roman"/>
        </w:rPr>
      </w:pPr>
    </w:p>
    <w:p w14:paraId="5FD95359">
      <w:pPr>
        <w:pStyle w:val="2"/>
        <w:rPr>
          <w:rFonts w:ascii="Times New Roman" w:hAnsi="Times New Roman"/>
        </w:rPr>
      </w:pPr>
    </w:p>
    <w:p w14:paraId="7627817C">
      <w:pPr>
        <w:pStyle w:val="2"/>
        <w:rPr>
          <w:rFonts w:ascii="Times New Roman" w:hAnsi="Times New Roman"/>
        </w:rPr>
      </w:pPr>
    </w:p>
    <w:p w14:paraId="654E44F3">
      <w:pPr>
        <w:pStyle w:val="2"/>
        <w:rPr>
          <w:rFonts w:hint="eastAsia" w:ascii="Times New Roman" w:hAnsi="Times New Roman" w:eastAsia="黑体"/>
          <w:color w:val="auto"/>
          <w:sz w:val="44"/>
          <w:szCs w:val="44"/>
          <w:highlight w:val="none"/>
        </w:rPr>
      </w:pPr>
      <w:r>
        <w:rPr>
          <w:rFonts w:ascii="Times New Roman" w:hAnsi="Times New Roman"/>
        </w:rPr>
        <w:drawing>
          <wp:inline distT="0" distB="0" distL="114300" distR="114300">
            <wp:extent cx="5572125" cy="4235450"/>
            <wp:effectExtent l="0" t="0" r="9525"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572125" cy="4235450"/>
                    </a:xfrm>
                    <a:prstGeom prst="rect">
                      <a:avLst/>
                    </a:prstGeom>
                    <a:noFill/>
                    <a:ln>
                      <a:noFill/>
                    </a:ln>
                  </pic:spPr>
                </pic:pic>
              </a:graphicData>
            </a:graphic>
          </wp:inline>
        </w:drawing>
      </w:r>
    </w:p>
    <w:p w14:paraId="5383EE7C">
      <w:pPr>
        <w:pStyle w:val="2"/>
        <w:rPr>
          <w:rFonts w:hint="eastAsia" w:ascii="Times New Roman" w:hAnsi="Times New Roman" w:eastAsia="黑体"/>
          <w:color w:val="auto"/>
          <w:sz w:val="44"/>
          <w:szCs w:val="44"/>
          <w:highlight w:val="none"/>
        </w:rPr>
      </w:pPr>
    </w:p>
    <w:p w14:paraId="1135F9B3">
      <w:pPr>
        <w:pStyle w:val="2"/>
        <w:rPr>
          <w:rFonts w:hint="eastAsia" w:ascii="Times New Roman" w:hAnsi="Times New Roman" w:eastAsia="黑体"/>
          <w:color w:val="auto"/>
          <w:sz w:val="44"/>
          <w:szCs w:val="44"/>
          <w:highlight w:val="none"/>
        </w:rPr>
      </w:pPr>
    </w:p>
    <w:p w14:paraId="192A922E">
      <w:pPr>
        <w:pStyle w:val="2"/>
        <w:rPr>
          <w:rFonts w:hint="eastAsia" w:ascii="Times New Roman" w:hAnsi="Times New Roman" w:eastAsia="黑体"/>
          <w:color w:val="auto"/>
          <w:sz w:val="44"/>
          <w:szCs w:val="44"/>
          <w:highlight w:val="none"/>
        </w:rPr>
      </w:pPr>
    </w:p>
    <w:p w14:paraId="10C87021">
      <w:pPr>
        <w:pStyle w:val="2"/>
        <w:rPr>
          <w:rFonts w:hint="eastAsia" w:ascii="Times New Roman" w:hAnsi="Times New Roman" w:eastAsia="黑体"/>
          <w:color w:val="auto"/>
          <w:sz w:val="44"/>
          <w:szCs w:val="44"/>
          <w:highlight w:val="none"/>
        </w:rPr>
      </w:pPr>
    </w:p>
    <w:p w14:paraId="03FE71E8">
      <w:pPr>
        <w:pStyle w:val="2"/>
        <w:rPr>
          <w:rFonts w:hint="eastAsia" w:ascii="Times New Roman" w:hAnsi="Times New Roman" w:eastAsia="黑体"/>
          <w:color w:val="auto"/>
          <w:sz w:val="44"/>
          <w:szCs w:val="44"/>
          <w:highlight w:val="none"/>
        </w:rPr>
      </w:pPr>
    </w:p>
    <w:p w14:paraId="6561B0E8">
      <w:pPr>
        <w:pStyle w:val="2"/>
        <w:rPr>
          <w:rFonts w:hint="eastAsia" w:ascii="Times New Roman" w:hAnsi="Times New Roman" w:eastAsia="黑体"/>
          <w:color w:val="auto"/>
          <w:sz w:val="44"/>
          <w:szCs w:val="44"/>
          <w:highlight w:val="none"/>
        </w:rPr>
      </w:pPr>
    </w:p>
    <w:p w14:paraId="7BD6F7EE">
      <w:pPr>
        <w:pStyle w:val="2"/>
        <w:rPr>
          <w:rFonts w:hint="eastAsia" w:ascii="Times New Roman" w:hAnsi="Times New Roman" w:eastAsia="黑体"/>
          <w:color w:val="auto"/>
          <w:sz w:val="44"/>
          <w:szCs w:val="44"/>
          <w:highlight w:val="none"/>
        </w:rPr>
      </w:pPr>
    </w:p>
    <w:p w14:paraId="1E18755A">
      <w:pPr>
        <w:pStyle w:val="2"/>
        <w:rPr>
          <w:rFonts w:hint="eastAsia" w:ascii="Times New Roman" w:hAnsi="Times New Roman" w:eastAsia="黑体"/>
          <w:color w:val="auto"/>
          <w:sz w:val="44"/>
          <w:szCs w:val="44"/>
          <w:highlight w:val="none"/>
        </w:rPr>
      </w:pPr>
    </w:p>
    <w:p w14:paraId="6A2F2FA6">
      <w:pPr>
        <w:pStyle w:val="2"/>
        <w:rPr>
          <w:rFonts w:ascii="Times New Roman" w:hAnsi="Times New Roman"/>
        </w:rPr>
      </w:pPr>
      <w:r>
        <w:rPr>
          <w:rFonts w:ascii="Times New Roman" w:hAnsi="Times New Roman"/>
        </w:rPr>
        <w:drawing>
          <wp:inline distT="0" distB="0" distL="114300" distR="114300">
            <wp:extent cx="5572125" cy="405765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5572125" cy="4057650"/>
                    </a:xfrm>
                    <a:prstGeom prst="rect">
                      <a:avLst/>
                    </a:prstGeom>
                    <a:noFill/>
                    <a:ln>
                      <a:noFill/>
                    </a:ln>
                  </pic:spPr>
                </pic:pic>
              </a:graphicData>
            </a:graphic>
          </wp:inline>
        </w:drawing>
      </w:r>
    </w:p>
    <w:p w14:paraId="7F235B61">
      <w:pPr>
        <w:pStyle w:val="2"/>
        <w:rPr>
          <w:rFonts w:ascii="Times New Roman" w:hAnsi="Times New Roman"/>
        </w:rPr>
      </w:pPr>
    </w:p>
    <w:p w14:paraId="6D52E423">
      <w:pPr>
        <w:pStyle w:val="2"/>
        <w:rPr>
          <w:rFonts w:hint="eastAsia" w:ascii="Times New Roman" w:hAnsi="Times New Roman"/>
        </w:rPr>
      </w:pPr>
    </w:p>
    <w:p w14:paraId="1350D270">
      <w:pPr>
        <w:pStyle w:val="2"/>
        <w:rPr>
          <w:rFonts w:hint="eastAsia" w:ascii="Times New Roman" w:hAnsi="Times New Roman" w:eastAsia="黑体"/>
          <w:color w:val="auto"/>
          <w:sz w:val="44"/>
          <w:szCs w:val="44"/>
          <w:highlight w:val="none"/>
        </w:rPr>
      </w:pPr>
    </w:p>
    <w:p w14:paraId="1FEF00DF">
      <w:pPr>
        <w:pStyle w:val="2"/>
        <w:rPr>
          <w:rFonts w:hint="eastAsia" w:ascii="Times New Roman" w:hAnsi="Times New Roman" w:eastAsia="黑体"/>
          <w:color w:val="auto"/>
          <w:sz w:val="44"/>
          <w:szCs w:val="44"/>
          <w:highlight w:val="none"/>
        </w:rPr>
      </w:pPr>
    </w:p>
    <w:p w14:paraId="7C893A6A">
      <w:pPr>
        <w:pStyle w:val="2"/>
        <w:rPr>
          <w:rFonts w:hint="eastAsia" w:ascii="Times New Roman" w:hAnsi="Times New Roman" w:eastAsia="黑体"/>
          <w:color w:val="auto"/>
          <w:sz w:val="44"/>
          <w:szCs w:val="44"/>
          <w:highlight w:val="none"/>
        </w:rPr>
      </w:pPr>
    </w:p>
    <w:p w14:paraId="02264F5E">
      <w:pPr>
        <w:pStyle w:val="2"/>
        <w:rPr>
          <w:rFonts w:hint="eastAsia" w:ascii="Times New Roman" w:hAnsi="Times New Roman" w:eastAsia="黑体"/>
          <w:color w:val="auto"/>
          <w:sz w:val="44"/>
          <w:szCs w:val="44"/>
          <w:highlight w:val="none"/>
        </w:rPr>
      </w:pPr>
    </w:p>
    <w:p w14:paraId="6CE613E4">
      <w:pPr>
        <w:pStyle w:val="2"/>
        <w:rPr>
          <w:rFonts w:hint="eastAsia" w:ascii="Times New Roman" w:hAnsi="Times New Roman" w:eastAsia="黑体"/>
          <w:color w:val="auto"/>
          <w:sz w:val="44"/>
          <w:szCs w:val="44"/>
          <w:highlight w:val="none"/>
        </w:rPr>
      </w:pPr>
    </w:p>
    <w:p w14:paraId="08C71F35">
      <w:pPr>
        <w:pStyle w:val="2"/>
        <w:rPr>
          <w:rFonts w:hint="eastAsia" w:ascii="Times New Roman" w:hAnsi="Times New Roman" w:eastAsia="黑体"/>
          <w:color w:val="auto"/>
          <w:sz w:val="44"/>
          <w:szCs w:val="44"/>
          <w:highlight w:val="none"/>
        </w:rPr>
      </w:pPr>
    </w:p>
    <w:p w14:paraId="1397D632">
      <w:pPr>
        <w:pStyle w:val="2"/>
        <w:rPr>
          <w:rFonts w:hint="eastAsia" w:ascii="Times New Roman" w:hAnsi="Times New Roman" w:eastAsia="黑体"/>
          <w:color w:val="auto"/>
          <w:sz w:val="44"/>
          <w:szCs w:val="44"/>
          <w:highlight w:val="none"/>
        </w:rPr>
      </w:pPr>
    </w:p>
    <w:p w14:paraId="5976AFBA">
      <w:pPr>
        <w:pStyle w:val="2"/>
        <w:rPr>
          <w:rFonts w:hint="eastAsia" w:ascii="Times New Roman" w:hAnsi="Times New Roman" w:eastAsia="黑体"/>
          <w:color w:val="auto"/>
          <w:sz w:val="44"/>
          <w:szCs w:val="44"/>
          <w:highlight w:val="none"/>
        </w:rPr>
      </w:pPr>
      <w:r>
        <w:rPr>
          <w:rFonts w:ascii="Times New Roman" w:hAnsi="Times New Roman"/>
        </w:rPr>
        <w:drawing>
          <wp:inline distT="0" distB="0" distL="114300" distR="114300">
            <wp:extent cx="5572125" cy="5246370"/>
            <wp:effectExtent l="0" t="0" r="9525" b="1143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tretch>
                      <a:fillRect/>
                    </a:stretch>
                  </pic:blipFill>
                  <pic:spPr>
                    <a:xfrm>
                      <a:off x="0" y="0"/>
                      <a:ext cx="5572125" cy="5246370"/>
                    </a:xfrm>
                    <a:prstGeom prst="rect">
                      <a:avLst/>
                    </a:prstGeom>
                    <a:noFill/>
                    <a:ln>
                      <a:noFill/>
                    </a:ln>
                  </pic:spPr>
                </pic:pic>
              </a:graphicData>
            </a:graphic>
          </wp:inline>
        </w:drawing>
      </w:r>
    </w:p>
    <w:p w14:paraId="0ED8067F">
      <w:pPr>
        <w:pStyle w:val="2"/>
        <w:rPr>
          <w:rFonts w:hint="eastAsia" w:ascii="Times New Roman" w:hAnsi="Times New Roman" w:eastAsia="黑体"/>
          <w:color w:val="auto"/>
          <w:sz w:val="44"/>
          <w:szCs w:val="44"/>
          <w:highlight w:val="none"/>
        </w:rPr>
      </w:pPr>
    </w:p>
    <w:p w14:paraId="1C7875CF">
      <w:pPr>
        <w:pStyle w:val="2"/>
        <w:rPr>
          <w:rFonts w:hint="eastAsia" w:ascii="Times New Roman" w:hAnsi="Times New Roman" w:eastAsia="黑体"/>
          <w:color w:val="auto"/>
          <w:sz w:val="44"/>
          <w:szCs w:val="44"/>
          <w:highlight w:val="none"/>
        </w:rPr>
      </w:pPr>
    </w:p>
    <w:p w14:paraId="36D0F508">
      <w:pPr>
        <w:pStyle w:val="2"/>
        <w:rPr>
          <w:rFonts w:hint="eastAsia" w:ascii="Times New Roman" w:hAnsi="Times New Roman" w:eastAsia="黑体"/>
          <w:color w:val="auto"/>
          <w:sz w:val="44"/>
          <w:szCs w:val="44"/>
          <w:highlight w:val="none"/>
        </w:rPr>
      </w:pPr>
    </w:p>
    <w:p w14:paraId="45C53F70">
      <w:pPr>
        <w:pStyle w:val="2"/>
        <w:rPr>
          <w:rFonts w:hint="eastAsia" w:ascii="Times New Roman" w:hAnsi="Times New Roman" w:eastAsia="黑体"/>
          <w:color w:val="auto"/>
          <w:sz w:val="44"/>
          <w:szCs w:val="44"/>
          <w:highlight w:val="none"/>
        </w:rPr>
      </w:pPr>
    </w:p>
    <w:p w14:paraId="2BD22557">
      <w:pPr>
        <w:pStyle w:val="2"/>
        <w:rPr>
          <w:rFonts w:hint="eastAsia" w:ascii="Times New Roman" w:hAnsi="Times New Roman" w:eastAsia="黑体"/>
          <w:color w:val="auto"/>
          <w:sz w:val="44"/>
          <w:szCs w:val="44"/>
          <w:highlight w:val="none"/>
        </w:rPr>
        <w:sectPr>
          <w:headerReference r:id="rId5" w:type="default"/>
          <w:footerReference r:id="rId6" w:type="default"/>
          <w:pgSz w:w="11906" w:h="16838"/>
          <w:pgMar w:top="1701" w:right="1474" w:bottom="1701" w:left="1587" w:header="851" w:footer="992" w:gutter="0"/>
          <w:pgNumType w:fmt="decimal" w:start="1"/>
          <w:cols w:space="0" w:num="1"/>
          <w:rtlGutter w:val="0"/>
          <w:docGrid w:type="lines" w:linePitch="312" w:charSpace="0"/>
        </w:sectPr>
      </w:pPr>
    </w:p>
    <w:p w14:paraId="20D426ED">
      <w:pPr>
        <w:pStyle w:val="2"/>
        <w:rPr>
          <w:rFonts w:hint="eastAsia" w:ascii="Times New Roman" w:hAnsi="Times New Roman" w:eastAsia="黑体"/>
          <w:color w:val="auto"/>
          <w:sz w:val="44"/>
          <w:szCs w:val="44"/>
          <w:highlight w:val="none"/>
        </w:rPr>
      </w:pPr>
    </w:p>
    <w:p w14:paraId="7E3615EC">
      <w:pPr>
        <w:pStyle w:val="2"/>
        <w:rPr>
          <w:rFonts w:ascii="Times New Roman" w:hAnsi="Times New Roman"/>
        </w:rPr>
      </w:pPr>
      <w:r>
        <w:rPr>
          <w:rFonts w:ascii="Times New Roman" w:hAnsi="Times New Roman"/>
        </w:rPr>
        <w:drawing>
          <wp:inline distT="0" distB="0" distL="114300" distR="114300">
            <wp:extent cx="5572125" cy="4323715"/>
            <wp:effectExtent l="0" t="0" r="9525" b="63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1"/>
                    <a:stretch>
                      <a:fillRect/>
                    </a:stretch>
                  </pic:blipFill>
                  <pic:spPr>
                    <a:xfrm>
                      <a:off x="0" y="0"/>
                      <a:ext cx="5572125" cy="4323715"/>
                    </a:xfrm>
                    <a:prstGeom prst="rect">
                      <a:avLst/>
                    </a:prstGeom>
                    <a:noFill/>
                    <a:ln>
                      <a:noFill/>
                    </a:ln>
                  </pic:spPr>
                </pic:pic>
              </a:graphicData>
            </a:graphic>
          </wp:inline>
        </w:drawing>
      </w:r>
    </w:p>
    <w:p w14:paraId="1BDA5D02">
      <w:pPr>
        <w:pStyle w:val="2"/>
        <w:rPr>
          <w:rFonts w:hint="eastAsia" w:ascii="Times New Roman" w:hAnsi="Times New Roman"/>
        </w:rPr>
      </w:pPr>
    </w:p>
    <w:p w14:paraId="743D4657">
      <w:pPr>
        <w:pStyle w:val="2"/>
        <w:rPr>
          <w:rFonts w:hint="eastAsia" w:ascii="Times New Roman" w:hAnsi="Times New Roman"/>
        </w:rPr>
      </w:pPr>
    </w:p>
    <w:p w14:paraId="4A71FAE6">
      <w:pPr>
        <w:pStyle w:val="2"/>
        <w:rPr>
          <w:rFonts w:hint="eastAsia" w:ascii="Times New Roman" w:hAnsi="Times New Roman"/>
        </w:rPr>
      </w:pPr>
    </w:p>
    <w:p w14:paraId="5E0DCD70">
      <w:pPr>
        <w:pStyle w:val="2"/>
        <w:rPr>
          <w:rFonts w:hint="eastAsia" w:ascii="Times New Roman" w:hAnsi="Times New Roman"/>
        </w:rPr>
      </w:pPr>
    </w:p>
    <w:p w14:paraId="75CB9E9B">
      <w:pPr>
        <w:pStyle w:val="2"/>
        <w:rPr>
          <w:rFonts w:hint="eastAsia" w:ascii="Times New Roman" w:hAnsi="Times New Roman"/>
        </w:rPr>
      </w:pPr>
    </w:p>
    <w:p w14:paraId="6F76FAE0">
      <w:pPr>
        <w:pStyle w:val="2"/>
        <w:rPr>
          <w:rFonts w:hint="eastAsia" w:ascii="Times New Roman" w:hAnsi="Times New Roman"/>
        </w:rPr>
      </w:pPr>
    </w:p>
    <w:p w14:paraId="6E76D02F">
      <w:pPr>
        <w:pStyle w:val="2"/>
        <w:rPr>
          <w:rFonts w:hint="eastAsia" w:ascii="Times New Roman" w:hAnsi="Times New Roman"/>
        </w:rPr>
      </w:pPr>
    </w:p>
    <w:p w14:paraId="5445BC44">
      <w:pPr>
        <w:pStyle w:val="2"/>
        <w:rPr>
          <w:rFonts w:hint="eastAsia" w:ascii="Times New Roman" w:hAnsi="Times New Roman"/>
        </w:rPr>
      </w:pPr>
    </w:p>
    <w:p w14:paraId="26DCA91D">
      <w:pPr>
        <w:pStyle w:val="2"/>
        <w:rPr>
          <w:rFonts w:hint="eastAsia" w:ascii="Times New Roman" w:hAnsi="Times New Roman"/>
        </w:rPr>
      </w:pPr>
    </w:p>
    <w:p w14:paraId="39383038">
      <w:pPr>
        <w:pStyle w:val="2"/>
        <w:rPr>
          <w:rFonts w:hint="eastAsia" w:ascii="Times New Roman" w:hAnsi="Times New Roman"/>
        </w:rPr>
      </w:pPr>
    </w:p>
    <w:p w14:paraId="0CDA9402">
      <w:pPr>
        <w:pStyle w:val="2"/>
        <w:rPr>
          <w:rFonts w:hint="eastAsia" w:ascii="Times New Roman" w:hAnsi="Times New Roman"/>
        </w:rPr>
      </w:pPr>
    </w:p>
    <w:p w14:paraId="21BF0231">
      <w:pPr>
        <w:pStyle w:val="2"/>
        <w:rPr>
          <w:rFonts w:hint="eastAsia" w:ascii="Times New Roman" w:hAnsi="Times New Roman"/>
        </w:rPr>
      </w:pPr>
    </w:p>
    <w:p w14:paraId="3F7A37D8">
      <w:pPr>
        <w:pStyle w:val="2"/>
        <w:rPr>
          <w:rFonts w:hint="eastAsia" w:ascii="Times New Roman" w:hAnsi="Times New Roman"/>
        </w:rPr>
        <w:sectPr>
          <w:pgSz w:w="11906" w:h="16838"/>
          <w:pgMar w:top="1984" w:right="1587" w:bottom="2041" w:left="1531" w:header="851" w:footer="992" w:gutter="0"/>
          <w:pgNumType w:fmt="decimal"/>
          <w:cols w:space="0" w:num="1"/>
          <w:rtlGutter w:val="0"/>
          <w:docGrid w:type="lines" w:linePitch="312" w:charSpace="0"/>
        </w:sectPr>
      </w:pPr>
    </w:p>
    <w:p w14:paraId="427A3971">
      <w:pPr>
        <w:pStyle w:val="2"/>
        <w:rPr>
          <w:rFonts w:hint="eastAsia" w:ascii="Times New Roman" w:hAnsi="Times New Roman" w:eastAsia="黑体"/>
          <w:color w:val="auto"/>
          <w:sz w:val="44"/>
          <w:szCs w:val="44"/>
          <w:highlight w:val="none"/>
        </w:rPr>
      </w:pPr>
      <w:r>
        <w:rPr>
          <w:rFonts w:ascii="Times New Roman" w:hAnsi="Times New Roman"/>
        </w:rPr>
        <w:drawing>
          <wp:inline distT="0" distB="0" distL="114300" distR="114300">
            <wp:extent cx="5572125" cy="4223385"/>
            <wp:effectExtent l="0" t="0" r="9525" b="571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2"/>
                    <a:stretch>
                      <a:fillRect/>
                    </a:stretch>
                  </pic:blipFill>
                  <pic:spPr>
                    <a:xfrm>
                      <a:off x="0" y="0"/>
                      <a:ext cx="5572125" cy="4223385"/>
                    </a:xfrm>
                    <a:prstGeom prst="rect">
                      <a:avLst/>
                    </a:prstGeom>
                    <a:noFill/>
                    <a:ln>
                      <a:noFill/>
                    </a:ln>
                  </pic:spPr>
                </pic:pic>
              </a:graphicData>
            </a:graphic>
          </wp:inline>
        </w:drawing>
      </w:r>
    </w:p>
    <w:p w14:paraId="0E126C51">
      <w:pPr>
        <w:pStyle w:val="2"/>
        <w:rPr>
          <w:rFonts w:hint="eastAsia" w:ascii="Times New Roman" w:hAnsi="Times New Roman" w:eastAsia="黑体"/>
          <w:color w:val="auto"/>
          <w:sz w:val="44"/>
          <w:szCs w:val="44"/>
          <w:highlight w:val="none"/>
        </w:rPr>
        <w:sectPr>
          <w:pgSz w:w="11906" w:h="16838"/>
          <w:pgMar w:top="1984" w:right="1587" w:bottom="2041" w:left="1531" w:header="851" w:footer="992" w:gutter="0"/>
          <w:pgNumType w:fmt="decimal"/>
          <w:cols w:space="0" w:num="1"/>
          <w:rtlGutter w:val="0"/>
          <w:docGrid w:type="lines" w:linePitch="312" w:charSpace="0"/>
        </w:sectPr>
      </w:pPr>
    </w:p>
    <w:p w14:paraId="0AE53857">
      <w:pPr>
        <w:pStyle w:val="2"/>
        <w:rPr>
          <w:rFonts w:hint="eastAsia" w:ascii="Times New Roman" w:hAnsi="Times New Roman" w:eastAsia="黑体"/>
          <w:color w:val="auto"/>
          <w:sz w:val="44"/>
          <w:szCs w:val="44"/>
          <w:highlight w:val="none"/>
        </w:rPr>
      </w:pPr>
    </w:p>
    <w:p w14:paraId="5702610B">
      <w:pPr>
        <w:pStyle w:val="2"/>
        <w:rPr>
          <w:rFonts w:hint="eastAsia" w:ascii="Times New Roman" w:hAnsi="Times New Roman" w:eastAsia="黑体"/>
          <w:color w:val="auto"/>
          <w:sz w:val="44"/>
          <w:szCs w:val="44"/>
          <w:highlight w:val="none"/>
        </w:rPr>
        <w:sectPr>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inline distT="0" distB="0" distL="114300" distR="114300">
            <wp:extent cx="5572125" cy="4773295"/>
            <wp:effectExtent l="0" t="0" r="9525" b="825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3"/>
                    <a:stretch>
                      <a:fillRect/>
                    </a:stretch>
                  </pic:blipFill>
                  <pic:spPr>
                    <a:xfrm>
                      <a:off x="0" y="0"/>
                      <a:ext cx="5572125" cy="4773295"/>
                    </a:xfrm>
                    <a:prstGeom prst="rect">
                      <a:avLst/>
                    </a:prstGeom>
                    <a:noFill/>
                    <a:ln>
                      <a:noFill/>
                    </a:ln>
                  </pic:spPr>
                </pic:pic>
              </a:graphicData>
            </a:graphic>
          </wp:inline>
        </w:drawing>
      </w:r>
    </w:p>
    <w:p w14:paraId="255CA39E">
      <w:pPr>
        <w:pStyle w:val="2"/>
        <w:rPr>
          <w:rFonts w:hint="eastAsia" w:ascii="Times New Roman" w:hAnsi="Times New Roman"/>
        </w:rPr>
        <w:sectPr>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inline distT="0" distB="0" distL="114300" distR="114300">
            <wp:extent cx="5572125" cy="3975100"/>
            <wp:effectExtent l="0" t="0" r="952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4"/>
                    <a:stretch>
                      <a:fillRect/>
                    </a:stretch>
                  </pic:blipFill>
                  <pic:spPr>
                    <a:xfrm>
                      <a:off x="0" y="0"/>
                      <a:ext cx="5572125" cy="3975100"/>
                    </a:xfrm>
                    <a:prstGeom prst="rect">
                      <a:avLst/>
                    </a:prstGeom>
                    <a:noFill/>
                    <a:ln>
                      <a:noFill/>
                    </a:ln>
                  </pic:spPr>
                </pic:pic>
              </a:graphicData>
            </a:graphic>
          </wp:inline>
        </w:drawing>
      </w:r>
    </w:p>
    <w:p w14:paraId="1EEF6581">
      <w:pPr>
        <w:pStyle w:val="2"/>
        <w:rPr>
          <w:rFonts w:hint="eastAsia" w:ascii="Times New Roman" w:hAnsi="Times New Roman"/>
        </w:rPr>
        <w:sectPr>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inline distT="0" distB="0" distL="114300" distR="114300">
            <wp:extent cx="5572125" cy="4057650"/>
            <wp:effectExtent l="0" t="0" r="952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5"/>
                    <a:stretch>
                      <a:fillRect/>
                    </a:stretch>
                  </pic:blipFill>
                  <pic:spPr>
                    <a:xfrm>
                      <a:off x="0" y="0"/>
                      <a:ext cx="5572125" cy="4057650"/>
                    </a:xfrm>
                    <a:prstGeom prst="rect">
                      <a:avLst/>
                    </a:prstGeom>
                    <a:noFill/>
                    <a:ln>
                      <a:noFill/>
                    </a:ln>
                  </pic:spPr>
                </pic:pic>
              </a:graphicData>
            </a:graphic>
          </wp:inline>
        </w:drawing>
      </w:r>
    </w:p>
    <w:p w14:paraId="106C69B8">
      <w:pPr>
        <w:pStyle w:val="2"/>
        <w:rPr>
          <w:rFonts w:hint="eastAsia" w:ascii="Times New Roman" w:hAnsi="Times New Roman"/>
        </w:rPr>
        <w:sectPr>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inline distT="0" distB="0" distL="114300" distR="114300">
            <wp:extent cx="5572125" cy="3927475"/>
            <wp:effectExtent l="0" t="0" r="9525" b="1587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6"/>
                    <a:stretch>
                      <a:fillRect/>
                    </a:stretch>
                  </pic:blipFill>
                  <pic:spPr>
                    <a:xfrm>
                      <a:off x="0" y="0"/>
                      <a:ext cx="5572125" cy="3927475"/>
                    </a:xfrm>
                    <a:prstGeom prst="rect">
                      <a:avLst/>
                    </a:prstGeom>
                    <a:noFill/>
                    <a:ln>
                      <a:noFill/>
                    </a:ln>
                  </pic:spPr>
                </pic:pic>
              </a:graphicData>
            </a:graphic>
          </wp:inline>
        </w:drawing>
      </w:r>
    </w:p>
    <w:p w14:paraId="0FABB4E5">
      <w:pPr>
        <w:pStyle w:val="2"/>
        <w:rPr>
          <w:rFonts w:hint="eastAsia" w:ascii="Times New Roman" w:hAnsi="Times New Roman"/>
        </w:rPr>
        <w:sectPr>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inline distT="0" distB="0" distL="114300" distR="114300">
            <wp:extent cx="5572125" cy="4022090"/>
            <wp:effectExtent l="0" t="0" r="9525" b="1651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7"/>
                    <a:stretch>
                      <a:fillRect/>
                    </a:stretch>
                  </pic:blipFill>
                  <pic:spPr>
                    <a:xfrm>
                      <a:off x="0" y="0"/>
                      <a:ext cx="5572125" cy="4022090"/>
                    </a:xfrm>
                    <a:prstGeom prst="rect">
                      <a:avLst/>
                    </a:prstGeom>
                    <a:noFill/>
                    <a:ln>
                      <a:noFill/>
                    </a:ln>
                  </pic:spPr>
                </pic:pic>
              </a:graphicData>
            </a:graphic>
          </wp:inline>
        </w:drawing>
      </w:r>
    </w:p>
    <w:p w14:paraId="3D268D07">
      <w:pPr>
        <w:pStyle w:val="2"/>
        <w:rPr>
          <w:rFonts w:hint="eastAsia" w:ascii="Times New Roman" w:hAnsi="Times New Roman"/>
        </w:rPr>
        <w:sectPr>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inline distT="0" distB="0" distL="114300" distR="114300">
            <wp:extent cx="5572125" cy="3880485"/>
            <wp:effectExtent l="0" t="0" r="9525" b="571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8"/>
                    <a:stretch>
                      <a:fillRect/>
                    </a:stretch>
                  </pic:blipFill>
                  <pic:spPr>
                    <a:xfrm>
                      <a:off x="0" y="0"/>
                      <a:ext cx="5572125" cy="3880485"/>
                    </a:xfrm>
                    <a:prstGeom prst="rect">
                      <a:avLst/>
                    </a:prstGeom>
                    <a:noFill/>
                    <a:ln>
                      <a:noFill/>
                    </a:ln>
                  </pic:spPr>
                </pic:pic>
              </a:graphicData>
            </a:graphic>
          </wp:inline>
        </w:drawing>
      </w:r>
    </w:p>
    <w:p w14:paraId="2A8D6C51">
      <w:pPr>
        <w:pStyle w:val="2"/>
        <w:rPr>
          <w:rFonts w:hint="eastAsia" w:ascii="Times New Roman" w:hAnsi="Times New Roman"/>
        </w:rPr>
        <w:sectPr>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inline distT="0" distB="0" distL="114300" distR="114300">
            <wp:extent cx="5572125" cy="4199890"/>
            <wp:effectExtent l="0" t="0" r="9525" b="1016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9"/>
                    <a:stretch>
                      <a:fillRect/>
                    </a:stretch>
                  </pic:blipFill>
                  <pic:spPr>
                    <a:xfrm>
                      <a:off x="0" y="0"/>
                      <a:ext cx="5572125" cy="4199890"/>
                    </a:xfrm>
                    <a:prstGeom prst="rect">
                      <a:avLst/>
                    </a:prstGeom>
                    <a:noFill/>
                    <a:ln>
                      <a:noFill/>
                    </a:ln>
                  </pic:spPr>
                </pic:pic>
              </a:graphicData>
            </a:graphic>
          </wp:inline>
        </w:drawing>
      </w:r>
    </w:p>
    <w:p w14:paraId="295D7503">
      <w:pPr>
        <w:pStyle w:val="2"/>
        <w:pageBreakBefore w:val="0"/>
        <w:kinsoku/>
        <w:wordWrap/>
        <w:overflowPunct/>
        <w:topLinePunct w:val="0"/>
        <w:bidi w:val="0"/>
        <w:spacing w:after="0" w:line="560" w:lineRule="exact"/>
        <w:ind w:left="0" w:leftChars="0"/>
        <w:rPr>
          <w:rFonts w:hint="eastAsia" w:ascii="Times New Roman" w:hAnsi="Times New Roman"/>
        </w:rPr>
        <w:sectPr>
          <w:headerReference r:id="rId7" w:type="default"/>
          <w:footerReference r:id="rId8" w:type="default"/>
          <w:pgSz w:w="11906" w:h="16838"/>
          <w:pgMar w:top="1984" w:right="1587" w:bottom="2041" w:left="1531" w:header="851" w:footer="992" w:gutter="0"/>
          <w:pgNumType w:fmt="decimal"/>
          <w:cols w:space="0" w:num="1"/>
          <w:rtlGutter w:val="0"/>
          <w:docGrid w:type="lines" w:linePitch="312" w:charSpace="0"/>
        </w:sectPr>
      </w:pPr>
      <w:r>
        <w:rPr>
          <w:rFonts w:ascii="Times New Roman" w:hAnsi="Times New Roman"/>
        </w:rPr>
        <w:drawing>
          <wp:anchor distT="0" distB="0" distL="114300" distR="114300" simplePos="0" relativeHeight="251667456" behindDoc="0" locked="0" layoutInCell="1" allowOverlap="1">
            <wp:simplePos x="0" y="0"/>
            <wp:positionH relativeFrom="column">
              <wp:posOffset>52705</wp:posOffset>
            </wp:positionH>
            <wp:positionV relativeFrom="paragraph">
              <wp:posOffset>4445</wp:posOffset>
            </wp:positionV>
            <wp:extent cx="5572125" cy="4489450"/>
            <wp:effectExtent l="0" t="0" r="9525" b="635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572125" cy="4489450"/>
                    </a:xfrm>
                    <a:prstGeom prst="rect">
                      <a:avLst/>
                    </a:prstGeom>
                    <a:noFill/>
                    <a:ln>
                      <a:noFill/>
                    </a:ln>
                  </pic:spPr>
                </pic:pic>
              </a:graphicData>
            </a:graphic>
          </wp:anchor>
        </w:drawing>
      </w:r>
    </w:p>
    <w:p w14:paraId="2488308F">
      <w:pPr>
        <w:pStyle w:val="2"/>
        <w:pageBreakBefore w:val="0"/>
        <w:kinsoku/>
        <w:wordWrap/>
        <w:overflowPunct/>
        <w:topLinePunct w:val="0"/>
        <w:bidi w:val="0"/>
        <w:spacing w:after="0" w:line="560" w:lineRule="exact"/>
        <w:ind w:left="0" w:leftChars="0"/>
        <w:rPr>
          <w:rFonts w:hint="eastAsia" w:ascii="Times New Roman" w:hAnsi="Times New Roman"/>
        </w:rPr>
      </w:pPr>
    </w:p>
    <w:p w14:paraId="3B7EEDDA">
      <w:pPr>
        <w:pageBreakBefore w:val="0"/>
        <w:kinsoku/>
        <w:wordWrap/>
        <w:overflowPunct/>
        <w:topLinePunct w:val="0"/>
        <w:bidi w:val="0"/>
        <w:spacing w:line="560" w:lineRule="exact"/>
        <w:ind w:left="0" w:leftChars="0" w:right="0"/>
        <w:jc w:val="center"/>
        <w:outlineLvl w:val="0"/>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19"/>
          <w:rFonts w:hint="eastAsia" w:ascii="Times New Roman" w:hAnsi="Times New Roman" w:eastAsia="黑体"/>
          <w:b w:val="0"/>
          <w:color w:val="auto"/>
          <w:highlight w:val="none"/>
        </w:rPr>
        <w:t>五部分 附表</w:t>
      </w:r>
    </w:p>
    <w:p w14:paraId="3E3D0B2D">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Fonts w:hint="eastAsia" w:ascii="Times New Roman" w:hAnsi="Times New Roman" w:eastAsia="仿宋"/>
          <w:b w:val="0"/>
          <w:color w:val="auto"/>
          <w:highlight w:val="none"/>
        </w:rPr>
        <w:t>一、收</w:t>
      </w:r>
      <w:r>
        <w:rPr>
          <w:rStyle w:val="20"/>
          <w:rFonts w:hint="eastAsia" w:ascii="Times New Roman" w:hAnsi="Times New Roman" w:eastAsia="仿宋"/>
          <w:b w:val="0"/>
          <w:bCs w:val="0"/>
          <w:color w:val="auto"/>
          <w:highlight w:val="none"/>
        </w:rPr>
        <w:t>入支出决算总表</w:t>
      </w:r>
    </w:p>
    <w:p w14:paraId="1D84C5E8">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Fonts w:hint="eastAsia" w:ascii="Times New Roman" w:hAnsi="Times New Roman" w:eastAsia="仿宋"/>
          <w:b w:val="0"/>
          <w:color w:val="auto"/>
          <w:highlight w:val="none"/>
        </w:rPr>
        <w:t>二、收</w:t>
      </w:r>
      <w:r>
        <w:rPr>
          <w:rStyle w:val="20"/>
          <w:rFonts w:hint="eastAsia" w:ascii="Times New Roman" w:hAnsi="Times New Roman" w:eastAsia="仿宋"/>
          <w:b w:val="0"/>
          <w:bCs w:val="0"/>
          <w:color w:val="auto"/>
          <w:highlight w:val="none"/>
        </w:rPr>
        <w:t>入决算表</w:t>
      </w:r>
    </w:p>
    <w:p w14:paraId="6C10BC9A">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三、</w:t>
      </w:r>
      <w:r>
        <w:rPr>
          <w:rFonts w:hint="eastAsia" w:ascii="Times New Roman" w:hAnsi="Times New Roman" w:eastAsia="仿宋"/>
          <w:b w:val="0"/>
          <w:color w:val="auto"/>
          <w:highlight w:val="none"/>
        </w:rPr>
        <w:t>支</w:t>
      </w:r>
      <w:r>
        <w:rPr>
          <w:rStyle w:val="20"/>
          <w:rFonts w:hint="eastAsia" w:ascii="Times New Roman" w:hAnsi="Times New Roman" w:eastAsia="仿宋"/>
          <w:b w:val="0"/>
          <w:bCs w:val="0"/>
          <w:color w:val="auto"/>
          <w:highlight w:val="none"/>
        </w:rPr>
        <w:t>出决算表</w:t>
      </w:r>
    </w:p>
    <w:p w14:paraId="54FA04E9">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b w:val="0"/>
          <w:color w:val="auto"/>
          <w:highlight w:val="none"/>
        </w:rPr>
      </w:pPr>
      <w:r>
        <w:rPr>
          <w:rStyle w:val="20"/>
          <w:rFonts w:hint="eastAsia" w:ascii="Times New Roman" w:hAnsi="Times New Roman" w:eastAsia="仿宋"/>
          <w:b w:val="0"/>
          <w:bCs w:val="0"/>
          <w:color w:val="auto"/>
          <w:highlight w:val="none"/>
        </w:rPr>
        <w:t>四、</w:t>
      </w:r>
      <w:r>
        <w:rPr>
          <w:rFonts w:hint="eastAsia" w:ascii="Times New Roman" w:hAnsi="Times New Roman" w:eastAsia="仿宋"/>
          <w:b w:val="0"/>
          <w:color w:val="auto"/>
          <w:highlight w:val="none"/>
        </w:rPr>
        <w:t>财</w:t>
      </w:r>
      <w:r>
        <w:rPr>
          <w:rStyle w:val="20"/>
          <w:rFonts w:hint="eastAsia" w:ascii="Times New Roman" w:hAnsi="Times New Roman" w:eastAsia="仿宋"/>
          <w:b w:val="0"/>
          <w:bCs w:val="0"/>
          <w:color w:val="auto"/>
          <w:highlight w:val="none"/>
        </w:rPr>
        <w:t>政拨款收入支出决算总表</w:t>
      </w:r>
    </w:p>
    <w:p w14:paraId="1E2AA2B9">
      <w:pPr>
        <w:pStyle w:val="4"/>
        <w:pageBreakBefore w:val="0"/>
        <w:kinsoku/>
        <w:wordWrap/>
        <w:overflowPunct/>
        <w:topLinePunct w:val="0"/>
        <w:bidi w:val="0"/>
        <w:spacing w:before="0" w:after="0" w:line="560" w:lineRule="exact"/>
        <w:ind w:left="0" w:leftChars="0" w:right="0" w:firstLine="624" w:firstLineChars="200"/>
        <w:jc w:val="left"/>
        <w:textAlignment w:val="baseline"/>
        <w:rPr>
          <w:rStyle w:val="20"/>
          <w:rFonts w:ascii="Times New Roman" w:hAnsi="Times New Roman" w:eastAsia="仿宋"/>
          <w:b w:val="0"/>
          <w:bCs w:val="0"/>
          <w:color w:val="auto"/>
          <w:highlight w:val="none"/>
        </w:rPr>
      </w:pPr>
      <w:r>
        <w:rPr>
          <w:rStyle w:val="20"/>
          <w:rFonts w:hint="eastAsia" w:ascii="Times New Roman" w:hAnsi="Times New Roman" w:eastAsia="仿宋"/>
          <w:b w:val="0"/>
          <w:bCs w:val="0"/>
          <w:color w:val="auto"/>
          <w:highlight w:val="none"/>
        </w:rPr>
        <w:t>五、</w:t>
      </w:r>
      <w:r>
        <w:rPr>
          <w:rFonts w:hint="eastAsia" w:ascii="Times New Roman" w:hAnsi="Times New Roman" w:eastAsia="仿宋"/>
          <w:b w:val="0"/>
          <w:color w:val="auto"/>
          <w:highlight w:val="none"/>
        </w:rPr>
        <w:t>财</w:t>
      </w:r>
      <w:r>
        <w:rPr>
          <w:rStyle w:val="20"/>
          <w:rFonts w:hint="eastAsia" w:ascii="Times New Roman" w:hAnsi="Times New Roman" w:eastAsia="仿宋"/>
          <w:b w:val="0"/>
          <w:bCs w:val="0"/>
          <w:color w:val="auto"/>
          <w:highlight w:val="none"/>
        </w:rPr>
        <w:t>政拨款支出决算明细表</w:t>
      </w:r>
    </w:p>
    <w:p w14:paraId="0C539420">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六、</w:t>
      </w:r>
      <w:r>
        <w:rPr>
          <w:rFonts w:hint="eastAsia" w:ascii="Times New Roman" w:hAnsi="Times New Roman" w:eastAsia="仿宋"/>
          <w:b w:val="0"/>
          <w:color w:val="auto"/>
          <w:highlight w:val="none"/>
        </w:rPr>
        <w:t>一</w:t>
      </w:r>
      <w:r>
        <w:rPr>
          <w:rStyle w:val="20"/>
          <w:rFonts w:hint="eastAsia" w:ascii="Times New Roman" w:hAnsi="Times New Roman" w:eastAsia="仿宋"/>
          <w:b w:val="0"/>
          <w:bCs w:val="0"/>
          <w:color w:val="auto"/>
          <w:highlight w:val="none"/>
        </w:rPr>
        <w:t>般公共预算财政拨款支出决算表</w:t>
      </w:r>
    </w:p>
    <w:p w14:paraId="303D8A9B">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七、</w:t>
      </w:r>
      <w:r>
        <w:rPr>
          <w:rFonts w:hint="eastAsia" w:ascii="Times New Roman" w:hAnsi="Times New Roman" w:eastAsia="仿宋"/>
          <w:b w:val="0"/>
          <w:color w:val="auto"/>
          <w:highlight w:val="none"/>
        </w:rPr>
        <w:t>一</w:t>
      </w:r>
      <w:r>
        <w:rPr>
          <w:rStyle w:val="20"/>
          <w:rFonts w:hint="eastAsia" w:ascii="Times New Roman" w:hAnsi="Times New Roman" w:eastAsia="仿宋"/>
          <w:b w:val="0"/>
          <w:bCs w:val="0"/>
          <w:color w:val="auto"/>
          <w:highlight w:val="none"/>
        </w:rPr>
        <w:t>般公共预算财政拨款支出决算明细表</w:t>
      </w:r>
    </w:p>
    <w:p w14:paraId="6C8E7308">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八、</w:t>
      </w:r>
      <w:r>
        <w:rPr>
          <w:rFonts w:hint="eastAsia" w:ascii="Times New Roman" w:hAnsi="Times New Roman" w:eastAsia="仿宋"/>
          <w:b w:val="0"/>
          <w:color w:val="auto"/>
          <w:highlight w:val="none"/>
        </w:rPr>
        <w:t>一</w:t>
      </w:r>
      <w:r>
        <w:rPr>
          <w:rStyle w:val="20"/>
          <w:rFonts w:hint="eastAsia" w:ascii="Times New Roman" w:hAnsi="Times New Roman" w:eastAsia="仿宋"/>
          <w:b w:val="0"/>
          <w:bCs w:val="0"/>
          <w:color w:val="auto"/>
          <w:highlight w:val="none"/>
        </w:rPr>
        <w:t>般公共预算财政拨款基本支出决算表</w:t>
      </w:r>
    </w:p>
    <w:p w14:paraId="73A7B284">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九、</w:t>
      </w:r>
      <w:r>
        <w:rPr>
          <w:rFonts w:hint="eastAsia" w:ascii="Times New Roman" w:hAnsi="Times New Roman" w:eastAsia="仿宋"/>
          <w:b w:val="0"/>
          <w:color w:val="auto"/>
          <w:highlight w:val="none"/>
        </w:rPr>
        <w:t>一</w:t>
      </w:r>
      <w:r>
        <w:rPr>
          <w:rStyle w:val="20"/>
          <w:rFonts w:hint="eastAsia" w:ascii="Times New Roman" w:hAnsi="Times New Roman" w:eastAsia="仿宋"/>
          <w:b w:val="0"/>
          <w:bCs w:val="0"/>
          <w:color w:val="auto"/>
          <w:highlight w:val="none"/>
        </w:rPr>
        <w:t>般公共预算财政拨款项目支出决算表</w:t>
      </w:r>
    </w:p>
    <w:p w14:paraId="391A8BDD">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十、</w:t>
      </w:r>
      <w:r>
        <w:rPr>
          <w:rFonts w:hint="eastAsia" w:ascii="Times New Roman" w:hAnsi="Times New Roman" w:eastAsia="仿宋"/>
          <w:b w:val="0"/>
          <w:color w:val="auto"/>
          <w:highlight w:val="none"/>
        </w:rPr>
        <w:t>政</w:t>
      </w:r>
      <w:r>
        <w:rPr>
          <w:rStyle w:val="20"/>
          <w:rFonts w:hint="eastAsia" w:ascii="Times New Roman" w:hAnsi="Times New Roman" w:eastAsia="仿宋"/>
          <w:b w:val="0"/>
          <w:bCs w:val="0"/>
          <w:color w:val="auto"/>
          <w:highlight w:val="none"/>
        </w:rPr>
        <w:t>府性基金预算财政拨款收入支出决算表</w:t>
      </w:r>
    </w:p>
    <w:p w14:paraId="69A336E8">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十一、</w:t>
      </w:r>
      <w:r>
        <w:rPr>
          <w:rFonts w:hint="eastAsia" w:ascii="Times New Roman" w:hAnsi="Times New Roman" w:eastAsia="仿宋"/>
          <w:b w:val="0"/>
          <w:color w:val="auto"/>
          <w:highlight w:val="none"/>
        </w:rPr>
        <w:t>国</w:t>
      </w:r>
      <w:r>
        <w:rPr>
          <w:rStyle w:val="20"/>
          <w:rFonts w:hint="eastAsia" w:ascii="Times New Roman" w:hAnsi="Times New Roman" w:eastAsia="仿宋"/>
          <w:b w:val="0"/>
          <w:bCs w:val="0"/>
          <w:color w:val="auto"/>
          <w:highlight w:val="none"/>
        </w:rPr>
        <w:t>有资本经营预算</w:t>
      </w:r>
      <w:r>
        <w:rPr>
          <w:rStyle w:val="20"/>
          <w:rFonts w:hint="eastAsia" w:ascii="Times New Roman" w:hAnsi="Times New Roman" w:eastAsia="仿宋"/>
          <w:b w:val="0"/>
          <w:bCs w:val="0"/>
          <w:color w:val="auto"/>
          <w:highlight w:val="none"/>
          <w:lang w:eastAsia="zh-CN"/>
        </w:rPr>
        <w:t>财政拨款收入</w:t>
      </w:r>
      <w:r>
        <w:rPr>
          <w:rStyle w:val="20"/>
          <w:rFonts w:hint="eastAsia" w:ascii="Times New Roman" w:hAnsi="Times New Roman" w:eastAsia="仿宋"/>
          <w:b w:val="0"/>
          <w:bCs w:val="0"/>
          <w:color w:val="auto"/>
          <w:highlight w:val="none"/>
        </w:rPr>
        <w:t>支出决算表</w:t>
      </w:r>
    </w:p>
    <w:p w14:paraId="51C71D35">
      <w:pPr>
        <w:pStyle w:val="4"/>
        <w:pageBreakBefore w:val="0"/>
        <w:kinsoku/>
        <w:wordWrap/>
        <w:overflowPunct/>
        <w:topLinePunct w:val="0"/>
        <w:bidi w:val="0"/>
        <w:spacing w:before="0" w:after="0" w:line="560" w:lineRule="exact"/>
        <w:ind w:left="0" w:leftChars="0" w:right="0" w:firstLine="624" w:firstLineChars="200"/>
        <w:jc w:val="left"/>
        <w:textAlignment w:val="baseline"/>
        <w:rPr>
          <w:rFonts w:ascii="Times New Roman" w:hAnsi="Times New Roman" w:eastAsia="仿宋"/>
          <w:color w:val="auto"/>
          <w:highlight w:val="none"/>
        </w:rPr>
      </w:pPr>
      <w:r>
        <w:rPr>
          <w:rStyle w:val="20"/>
          <w:rFonts w:hint="eastAsia" w:ascii="Times New Roman" w:hAnsi="Times New Roman" w:eastAsia="仿宋"/>
          <w:b w:val="0"/>
          <w:bCs w:val="0"/>
          <w:color w:val="auto"/>
          <w:highlight w:val="none"/>
        </w:rPr>
        <w:t>十二、</w:t>
      </w:r>
      <w:r>
        <w:rPr>
          <w:rStyle w:val="20"/>
          <w:rFonts w:hint="eastAsia" w:ascii="Times New Roman" w:hAnsi="Times New Roman" w:eastAsia="仿宋"/>
          <w:b w:val="0"/>
          <w:bCs w:val="0"/>
          <w:color w:val="auto"/>
          <w:highlight w:val="none"/>
          <w:lang w:eastAsia="zh-CN"/>
        </w:rPr>
        <w:t>国有资本经营预算财政拨款支出决算表</w:t>
      </w:r>
    </w:p>
    <w:p w14:paraId="08087EDC">
      <w:pPr>
        <w:pStyle w:val="4"/>
        <w:pageBreakBefore w:val="0"/>
        <w:kinsoku/>
        <w:wordWrap/>
        <w:overflowPunct/>
        <w:topLinePunct w:val="0"/>
        <w:bidi w:val="0"/>
        <w:spacing w:before="0" w:after="0" w:line="560" w:lineRule="exact"/>
        <w:ind w:left="0" w:leftChars="0" w:right="0" w:firstLine="624" w:firstLineChars="200"/>
        <w:jc w:val="left"/>
        <w:textAlignment w:val="baseline"/>
        <w:rPr>
          <w:rFonts w:hint="eastAsia" w:ascii="Times New Roman" w:hAnsi="Times New Roman" w:eastAsia="仿宋"/>
          <w:color w:val="auto"/>
          <w:highlight w:val="none"/>
          <w:lang w:eastAsia="zh-CN"/>
        </w:rPr>
      </w:pPr>
      <w:r>
        <w:rPr>
          <w:rStyle w:val="20"/>
          <w:rFonts w:hint="eastAsia" w:ascii="Times New Roman" w:hAnsi="Times New Roman" w:eastAsia="仿宋"/>
          <w:b w:val="0"/>
          <w:bCs w:val="0"/>
          <w:color w:val="auto"/>
          <w:highlight w:val="none"/>
        </w:rPr>
        <w:t>十三、</w:t>
      </w:r>
      <w:r>
        <w:rPr>
          <w:rStyle w:val="20"/>
          <w:rFonts w:hint="eastAsia" w:ascii="Times New Roman" w:hAnsi="Times New Roman" w:eastAsia="仿宋"/>
          <w:b w:val="0"/>
          <w:bCs w:val="0"/>
          <w:color w:val="auto"/>
          <w:highlight w:val="none"/>
          <w:lang w:eastAsia="zh-CN"/>
        </w:rPr>
        <w:t>财政拨款“三公”经费支出决算表</w:t>
      </w:r>
    </w:p>
    <w:p w14:paraId="04D2D427">
      <w:pPr>
        <w:pageBreakBefore w:val="0"/>
        <w:kinsoku/>
        <w:wordWrap/>
        <w:overflowPunct/>
        <w:topLinePunct w:val="0"/>
        <w:bidi w:val="0"/>
        <w:spacing w:line="560" w:lineRule="exact"/>
        <w:ind w:left="0" w:leftChars="0" w:firstLine="420" w:firstLineChars="200"/>
        <w:jc w:val="left"/>
        <w:textAlignment w:val="baseline"/>
        <w:rPr>
          <w:rFonts w:hint="default" w:ascii="Times New Roman" w:hAnsi="Times New Roman"/>
          <w:lang w:val="en-US" w:eastAsia="zh-CN"/>
        </w:rPr>
      </w:pPr>
    </w:p>
    <w:sectPr>
      <w:pgSz w:w="11906" w:h="16838"/>
      <w:pgMar w:top="1984" w:right="1587" w:bottom="2041" w:left="153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DD5C12-5BEB-49AE-84B1-51F4A008804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embedRegular r:id="rId2" w:fontKey="{B728BA06-4FD7-4C3A-ABE1-185EC2CF9526}"/>
  </w:font>
  <w:font w:name="仿宋_GB2312">
    <w:panose1 w:val="02010609030101010101"/>
    <w:charset w:val="86"/>
    <w:family w:val="modern"/>
    <w:pitch w:val="default"/>
    <w:sig w:usb0="00000001" w:usb1="080E0000" w:usb2="00000000" w:usb3="00000000" w:csb0="00040000" w:csb1="00000000"/>
    <w:embedRegular r:id="rId3" w:fontKey="{68E4F0C8-794C-4D90-81F3-34447FBF5E7C}"/>
  </w:font>
  <w:font w:name="方正小标宋简体">
    <w:panose1 w:val="02000000000000000000"/>
    <w:charset w:val="86"/>
    <w:family w:val="auto"/>
    <w:pitch w:val="default"/>
    <w:sig w:usb0="00000001" w:usb1="080E0000" w:usb2="00000000" w:usb3="00000000" w:csb0="00040000" w:csb1="00000000"/>
    <w:embedRegular r:id="rId4" w:fontKey="{3EA99A81-2A4F-45CD-B2C1-4964F58A76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0D1E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59AAC">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042D">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1919B">
                          <w:pPr>
                            <w:pStyle w:val="8"/>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  \* MERGEFORMAT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CB1919B">
                    <w:pPr>
                      <w:pStyle w:val="8"/>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  \* MERGEFORMAT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A123C">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20C5E">
                          <w:pPr>
                            <w:pStyle w:val="8"/>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  \* MERGEFORMAT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AA20C5E">
                    <w:pPr>
                      <w:pStyle w:val="8"/>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  \* MERGEFORMAT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w:t>
                    </w:r>
                    <w:r>
                      <w:rPr>
                        <w:color w:val="000000" w:themeColor="text1"/>
                        <w:sz w:val="28"/>
                        <w:szCs w:val="28"/>
                        <w14:textFill>
                          <w14:solidFill>
                            <w14:schemeClr w14:val="tx1"/>
                          </w14:solidFill>
                        </w14:textFill>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52890">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30CD3">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18A09A"/>
    <w:multiLevelType w:val="singleLevel"/>
    <w:tmpl w:val="3818A09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xY2Y2NWNlYzAxNTgwMzNhYjJkZmUyN2Q2MTJjNjQifQ=="/>
  </w:docVars>
  <w:rsids>
    <w:rsidRoot w:val="00000000"/>
    <w:rsid w:val="017E3A93"/>
    <w:rsid w:val="018C21A5"/>
    <w:rsid w:val="03EE607E"/>
    <w:rsid w:val="041D2A27"/>
    <w:rsid w:val="041F2C6B"/>
    <w:rsid w:val="04ED3745"/>
    <w:rsid w:val="064727A7"/>
    <w:rsid w:val="07F910B5"/>
    <w:rsid w:val="08BC2ABC"/>
    <w:rsid w:val="08EEABC7"/>
    <w:rsid w:val="093C0B57"/>
    <w:rsid w:val="0965491E"/>
    <w:rsid w:val="0A5A62F7"/>
    <w:rsid w:val="0DC9777B"/>
    <w:rsid w:val="0E5434E9"/>
    <w:rsid w:val="0FDF985F"/>
    <w:rsid w:val="126D1A83"/>
    <w:rsid w:val="12DFB396"/>
    <w:rsid w:val="13FB0795"/>
    <w:rsid w:val="155416C5"/>
    <w:rsid w:val="166BE4EE"/>
    <w:rsid w:val="16C84A74"/>
    <w:rsid w:val="177F2F89"/>
    <w:rsid w:val="17DAC0AA"/>
    <w:rsid w:val="19D305CB"/>
    <w:rsid w:val="1B1C1626"/>
    <w:rsid w:val="1BAF6479"/>
    <w:rsid w:val="1BB83236"/>
    <w:rsid w:val="1CEF3168"/>
    <w:rsid w:val="1D7B77A9"/>
    <w:rsid w:val="1DD505AE"/>
    <w:rsid w:val="1DFF6367"/>
    <w:rsid w:val="1ED356C8"/>
    <w:rsid w:val="1EFEC550"/>
    <w:rsid w:val="1F6EEB03"/>
    <w:rsid w:val="1F79CE7A"/>
    <w:rsid w:val="1FB9F9DE"/>
    <w:rsid w:val="214473ED"/>
    <w:rsid w:val="220457A4"/>
    <w:rsid w:val="22E860F4"/>
    <w:rsid w:val="22FF41E7"/>
    <w:rsid w:val="23E7BF8B"/>
    <w:rsid w:val="25345930"/>
    <w:rsid w:val="262E46D3"/>
    <w:rsid w:val="2773A402"/>
    <w:rsid w:val="277ABC74"/>
    <w:rsid w:val="27870ABE"/>
    <w:rsid w:val="29BF3463"/>
    <w:rsid w:val="29DF38D3"/>
    <w:rsid w:val="2A0F4018"/>
    <w:rsid w:val="2A6FF423"/>
    <w:rsid w:val="2AC15647"/>
    <w:rsid w:val="2BA572C2"/>
    <w:rsid w:val="2BAC77FE"/>
    <w:rsid w:val="2BFFBF62"/>
    <w:rsid w:val="2CF72280"/>
    <w:rsid w:val="2D7C11A9"/>
    <w:rsid w:val="2D8A262B"/>
    <w:rsid w:val="2DF75644"/>
    <w:rsid w:val="2EFF6A2B"/>
    <w:rsid w:val="2FFE29AA"/>
    <w:rsid w:val="2FFF795E"/>
    <w:rsid w:val="32400ABB"/>
    <w:rsid w:val="330A7B54"/>
    <w:rsid w:val="336970F4"/>
    <w:rsid w:val="33A6A650"/>
    <w:rsid w:val="33C8500A"/>
    <w:rsid w:val="33CF0623"/>
    <w:rsid w:val="34DC9858"/>
    <w:rsid w:val="35692697"/>
    <w:rsid w:val="372E5BEF"/>
    <w:rsid w:val="37744EF2"/>
    <w:rsid w:val="37F215CF"/>
    <w:rsid w:val="37F76BE7"/>
    <w:rsid w:val="37FFAD35"/>
    <w:rsid w:val="37FFF67C"/>
    <w:rsid w:val="39BFF6D5"/>
    <w:rsid w:val="39DF8470"/>
    <w:rsid w:val="39F7B2BF"/>
    <w:rsid w:val="3A7F7C88"/>
    <w:rsid w:val="3B181801"/>
    <w:rsid w:val="3B473AEC"/>
    <w:rsid w:val="3BFD6874"/>
    <w:rsid w:val="3BFE2EC2"/>
    <w:rsid w:val="3BFFA337"/>
    <w:rsid w:val="3CBD16F0"/>
    <w:rsid w:val="3CBF5604"/>
    <w:rsid w:val="3CDF2F8B"/>
    <w:rsid w:val="3D6F1596"/>
    <w:rsid w:val="3D9F678D"/>
    <w:rsid w:val="3DE60F27"/>
    <w:rsid w:val="3DF73834"/>
    <w:rsid w:val="3DFD3291"/>
    <w:rsid w:val="3DFFC914"/>
    <w:rsid w:val="3EAFDE0E"/>
    <w:rsid w:val="3EBE5482"/>
    <w:rsid w:val="3EF295BC"/>
    <w:rsid w:val="3FBDDCA9"/>
    <w:rsid w:val="3FD719D7"/>
    <w:rsid w:val="3FF9834F"/>
    <w:rsid w:val="3FFCE26E"/>
    <w:rsid w:val="3FFE20C4"/>
    <w:rsid w:val="3FFF3319"/>
    <w:rsid w:val="3FFF747B"/>
    <w:rsid w:val="40C8478C"/>
    <w:rsid w:val="41346D73"/>
    <w:rsid w:val="42B24DA4"/>
    <w:rsid w:val="43455087"/>
    <w:rsid w:val="445F2C50"/>
    <w:rsid w:val="449F800E"/>
    <w:rsid w:val="44BD444B"/>
    <w:rsid w:val="46F546AF"/>
    <w:rsid w:val="477F929B"/>
    <w:rsid w:val="48DBC07E"/>
    <w:rsid w:val="4A0E20E3"/>
    <w:rsid w:val="4B89537D"/>
    <w:rsid w:val="4BD33AE5"/>
    <w:rsid w:val="4C7BC59D"/>
    <w:rsid w:val="4CD41741"/>
    <w:rsid w:val="4DB84D64"/>
    <w:rsid w:val="4F370454"/>
    <w:rsid w:val="4F9F262D"/>
    <w:rsid w:val="4FAF8F8A"/>
    <w:rsid w:val="4FCF33E0"/>
    <w:rsid w:val="4FF2A9BA"/>
    <w:rsid w:val="4FF8E460"/>
    <w:rsid w:val="4FFE9CFD"/>
    <w:rsid w:val="51082085"/>
    <w:rsid w:val="523C08F9"/>
    <w:rsid w:val="531FC55C"/>
    <w:rsid w:val="53677AB5"/>
    <w:rsid w:val="545B76B8"/>
    <w:rsid w:val="55B94CE1"/>
    <w:rsid w:val="56820ACE"/>
    <w:rsid w:val="56897785"/>
    <w:rsid w:val="5695D24E"/>
    <w:rsid w:val="573DF1B7"/>
    <w:rsid w:val="573FC308"/>
    <w:rsid w:val="57B42F45"/>
    <w:rsid w:val="58ED5699"/>
    <w:rsid w:val="5AB4182F"/>
    <w:rsid w:val="5B761990"/>
    <w:rsid w:val="5BBDB6CB"/>
    <w:rsid w:val="5BBFAB1D"/>
    <w:rsid w:val="5BDFBA20"/>
    <w:rsid w:val="5BFF1719"/>
    <w:rsid w:val="5C010515"/>
    <w:rsid w:val="5C5D0D87"/>
    <w:rsid w:val="5DB5EA10"/>
    <w:rsid w:val="5DF179D9"/>
    <w:rsid w:val="5DFD243D"/>
    <w:rsid w:val="5DFD316A"/>
    <w:rsid w:val="5DFD7E67"/>
    <w:rsid w:val="5EF72DC2"/>
    <w:rsid w:val="5EFD4F05"/>
    <w:rsid w:val="5EFF021F"/>
    <w:rsid w:val="5EFFEDDE"/>
    <w:rsid w:val="5F3F93F4"/>
    <w:rsid w:val="5F8B17F1"/>
    <w:rsid w:val="5FAC28BB"/>
    <w:rsid w:val="5FAF6F63"/>
    <w:rsid w:val="5FBE495C"/>
    <w:rsid w:val="5FBFDFFE"/>
    <w:rsid w:val="5FDBD914"/>
    <w:rsid w:val="5FDC5DEE"/>
    <w:rsid w:val="5FEC17B5"/>
    <w:rsid w:val="5FECE017"/>
    <w:rsid w:val="5FEDE348"/>
    <w:rsid w:val="5FEFFFF8"/>
    <w:rsid w:val="5FF55F4F"/>
    <w:rsid w:val="5FF7CA54"/>
    <w:rsid w:val="5FFB1883"/>
    <w:rsid w:val="5FFB64C0"/>
    <w:rsid w:val="5FFDEFEF"/>
    <w:rsid w:val="6253013A"/>
    <w:rsid w:val="62EF19AE"/>
    <w:rsid w:val="651F7C85"/>
    <w:rsid w:val="665FC34E"/>
    <w:rsid w:val="67773FF6"/>
    <w:rsid w:val="67EF5397"/>
    <w:rsid w:val="68FD6332"/>
    <w:rsid w:val="697398BB"/>
    <w:rsid w:val="69E72776"/>
    <w:rsid w:val="69EA6DBB"/>
    <w:rsid w:val="6AD586B7"/>
    <w:rsid w:val="6B91036A"/>
    <w:rsid w:val="6BDD8DF9"/>
    <w:rsid w:val="6BFECF43"/>
    <w:rsid w:val="6CFF6F60"/>
    <w:rsid w:val="6D67A3FD"/>
    <w:rsid w:val="6DCDEC1B"/>
    <w:rsid w:val="6DFFABA3"/>
    <w:rsid w:val="6E7F998A"/>
    <w:rsid w:val="6E7FAAFC"/>
    <w:rsid w:val="6EBFDB7D"/>
    <w:rsid w:val="6EBFFF70"/>
    <w:rsid w:val="6EFB2464"/>
    <w:rsid w:val="6EFBAA81"/>
    <w:rsid w:val="6EFD079B"/>
    <w:rsid w:val="6F5FA46B"/>
    <w:rsid w:val="6F6F1C53"/>
    <w:rsid w:val="6F7924FE"/>
    <w:rsid w:val="6FF3F4CA"/>
    <w:rsid w:val="6FFE05A7"/>
    <w:rsid w:val="6FFE2104"/>
    <w:rsid w:val="6FFF5EF3"/>
    <w:rsid w:val="6FFF7129"/>
    <w:rsid w:val="6FFFF381"/>
    <w:rsid w:val="70757FF6"/>
    <w:rsid w:val="70D722BC"/>
    <w:rsid w:val="7121017E"/>
    <w:rsid w:val="713FCE12"/>
    <w:rsid w:val="71F288D1"/>
    <w:rsid w:val="71F29E34"/>
    <w:rsid w:val="72190A99"/>
    <w:rsid w:val="721FD105"/>
    <w:rsid w:val="722E0038"/>
    <w:rsid w:val="723FC14E"/>
    <w:rsid w:val="727FD9FF"/>
    <w:rsid w:val="72CB64BE"/>
    <w:rsid w:val="72F9047C"/>
    <w:rsid w:val="736F3933"/>
    <w:rsid w:val="73778BA6"/>
    <w:rsid w:val="738F772F"/>
    <w:rsid w:val="739B6F03"/>
    <w:rsid w:val="73BFE610"/>
    <w:rsid w:val="73D7343F"/>
    <w:rsid w:val="749FC5DC"/>
    <w:rsid w:val="755D1F6E"/>
    <w:rsid w:val="75BF8438"/>
    <w:rsid w:val="767F7B35"/>
    <w:rsid w:val="769F5203"/>
    <w:rsid w:val="76A7011C"/>
    <w:rsid w:val="7787C919"/>
    <w:rsid w:val="778DCE01"/>
    <w:rsid w:val="77B94F0A"/>
    <w:rsid w:val="77D47E28"/>
    <w:rsid w:val="77DFE4BF"/>
    <w:rsid w:val="77F63951"/>
    <w:rsid w:val="77FBEBD0"/>
    <w:rsid w:val="77FF5F1C"/>
    <w:rsid w:val="786B4404"/>
    <w:rsid w:val="7938491E"/>
    <w:rsid w:val="79E798F4"/>
    <w:rsid w:val="7A9B6201"/>
    <w:rsid w:val="7AFF5BCA"/>
    <w:rsid w:val="7B0F2312"/>
    <w:rsid w:val="7B1BC61A"/>
    <w:rsid w:val="7B56E101"/>
    <w:rsid w:val="7B7D3B7E"/>
    <w:rsid w:val="7BB719C8"/>
    <w:rsid w:val="7BDF73E2"/>
    <w:rsid w:val="7BED68FD"/>
    <w:rsid w:val="7BF92D49"/>
    <w:rsid w:val="7BFB4CD6"/>
    <w:rsid w:val="7BFB8187"/>
    <w:rsid w:val="7BFF36A7"/>
    <w:rsid w:val="7C6E2A9B"/>
    <w:rsid w:val="7CA72735"/>
    <w:rsid w:val="7CCF8DD2"/>
    <w:rsid w:val="7CCFCDE1"/>
    <w:rsid w:val="7CFDEDB2"/>
    <w:rsid w:val="7D56BDCB"/>
    <w:rsid w:val="7D5FCD33"/>
    <w:rsid w:val="7DB52E18"/>
    <w:rsid w:val="7DB75F91"/>
    <w:rsid w:val="7DBE5F1E"/>
    <w:rsid w:val="7DBFC115"/>
    <w:rsid w:val="7DCE2C09"/>
    <w:rsid w:val="7DEB4620"/>
    <w:rsid w:val="7DEF5A24"/>
    <w:rsid w:val="7DF724D3"/>
    <w:rsid w:val="7DF7467F"/>
    <w:rsid w:val="7DF7957F"/>
    <w:rsid w:val="7DFEFA00"/>
    <w:rsid w:val="7DFFE315"/>
    <w:rsid w:val="7E3FCEDC"/>
    <w:rsid w:val="7E7EEF10"/>
    <w:rsid w:val="7EBBD72A"/>
    <w:rsid w:val="7EDC9AE5"/>
    <w:rsid w:val="7EDD377F"/>
    <w:rsid w:val="7EEF324A"/>
    <w:rsid w:val="7EEF89C1"/>
    <w:rsid w:val="7EF5DAA7"/>
    <w:rsid w:val="7EF7AF13"/>
    <w:rsid w:val="7EFDB8F7"/>
    <w:rsid w:val="7EFF8396"/>
    <w:rsid w:val="7EFFC96B"/>
    <w:rsid w:val="7F1DBEDF"/>
    <w:rsid w:val="7F6B6C39"/>
    <w:rsid w:val="7F6BF634"/>
    <w:rsid w:val="7F6CEF77"/>
    <w:rsid w:val="7F6D28CF"/>
    <w:rsid w:val="7F73BDA5"/>
    <w:rsid w:val="7F778A57"/>
    <w:rsid w:val="7F7BCB28"/>
    <w:rsid w:val="7F7C9E18"/>
    <w:rsid w:val="7F7D826E"/>
    <w:rsid w:val="7FA00E1E"/>
    <w:rsid w:val="7FB90C6E"/>
    <w:rsid w:val="7FBB202F"/>
    <w:rsid w:val="7FBD4275"/>
    <w:rsid w:val="7FBF198A"/>
    <w:rsid w:val="7FCD0E12"/>
    <w:rsid w:val="7FCDE4D9"/>
    <w:rsid w:val="7FE739D4"/>
    <w:rsid w:val="7FEF5162"/>
    <w:rsid w:val="7FF7EE28"/>
    <w:rsid w:val="7FFB768D"/>
    <w:rsid w:val="7FFC595A"/>
    <w:rsid w:val="7FFE490B"/>
    <w:rsid w:val="7FFF0269"/>
    <w:rsid w:val="7FFF0681"/>
    <w:rsid w:val="7FFF5910"/>
    <w:rsid w:val="7FFF63B6"/>
    <w:rsid w:val="7FFF6D1A"/>
    <w:rsid w:val="7FFFD62D"/>
    <w:rsid w:val="8BCF97C2"/>
    <w:rsid w:val="8F6C2E2A"/>
    <w:rsid w:val="96CFAD36"/>
    <w:rsid w:val="977F5485"/>
    <w:rsid w:val="97D9F3AD"/>
    <w:rsid w:val="99F762A4"/>
    <w:rsid w:val="9BF3E017"/>
    <w:rsid w:val="9DE78140"/>
    <w:rsid w:val="9DEFD762"/>
    <w:rsid w:val="9E974E6F"/>
    <w:rsid w:val="9EF686D9"/>
    <w:rsid w:val="9F7F6276"/>
    <w:rsid w:val="9F87F827"/>
    <w:rsid w:val="9FDEEB6C"/>
    <w:rsid w:val="9FF5DB10"/>
    <w:rsid w:val="A6E7B9F3"/>
    <w:rsid w:val="AB3FBB1A"/>
    <w:rsid w:val="AD27E3B3"/>
    <w:rsid w:val="AD7DD09C"/>
    <w:rsid w:val="AE5C9289"/>
    <w:rsid w:val="AE77AA0D"/>
    <w:rsid w:val="AEB7EA0C"/>
    <w:rsid w:val="AEF7B279"/>
    <w:rsid w:val="AF5C1906"/>
    <w:rsid w:val="AF7FA4FD"/>
    <w:rsid w:val="AFA72A0E"/>
    <w:rsid w:val="AFFF2845"/>
    <w:rsid w:val="B05F43ED"/>
    <w:rsid w:val="B1D6896B"/>
    <w:rsid w:val="B3B52592"/>
    <w:rsid w:val="B576572C"/>
    <w:rsid w:val="B57F9924"/>
    <w:rsid w:val="B59F2E9A"/>
    <w:rsid w:val="B6F981D7"/>
    <w:rsid w:val="B72BD25F"/>
    <w:rsid w:val="B97F54B4"/>
    <w:rsid w:val="B9FE354A"/>
    <w:rsid w:val="BAFD4907"/>
    <w:rsid w:val="BBBE79FD"/>
    <w:rsid w:val="BCCD95D2"/>
    <w:rsid w:val="BCFF0334"/>
    <w:rsid w:val="BEFFCA3D"/>
    <w:rsid w:val="BF6369E1"/>
    <w:rsid w:val="BF659523"/>
    <w:rsid w:val="BF767761"/>
    <w:rsid w:val="BF7D869A"/>
    <w:rsid w:val="BF7F580B"/>
    <w:rsid w:val="BFBE0CE3"/>
    <w:rsid w:val="BFDD6D73"/>
    <w:rsid w:val="BFFAC364"/>
    <w:rsid w:val="BFFE277D"/>
    <w:rsid w:val="BFFFBF5F"/>
    <w:rsid w:val="BFFFC532"/>
    <w:rsid w:val="C39F0EE2"/>
    <w:rsid w:val="C5FBA834"/>
    <w:rsid w:val="C66EB465"/>
    <w:rsid w:val="C77DC761"/>
    <w:rsid w:val="C7B35353"/>
    <w:rsid w:val="CB5462B9"/>
    <w:rsid w:val="CBFF99A6"/>
    <w:rsid w:val="CCA868BF"/>
    <w:rsid w:val="CD3F8501"/>
    <w:rsid w:val="CD76D731"/>
    <w:rsid w:val="CEF7C29C"/>
    <w:rsid w:val="CEFD1123"/>
    <w:rsid w:val="CEFFAC02"/>
    <w:rsid w:val="CF3F7E89"/>
    <w:rsid w:val="CFAFB382"/>
    <w:rsid w:val="CFB21A0C"/>
    <w:rsid w:val="D0EFD3D8"/>
    <w:rsid w:val="D3759B4D"/>
    <w:rsid w:val="D3A335B4"/>
    <w:rsid w:val="D3B57B61"/>
    <w:rsid w:val="D3F7AA1D"/>
    <w:rsid w:val="D57D91A7"/>
    <w:rsid w:val="D5BF6E6D"/>
    <w:rsid w:val="D5EF99A6"/>
    <w:rsid w:val="D6BFE826"/>
    <w:rsid w:val="D6DB126F"/>
    <w:rsid w:val="D6DDE61A"/>
    <w:rsid w:val="D6FF2C76"/>
    <w:rsid w:val="D7AD7964"/>
    <w:rsid w:val="D7EF05C1"/>
    <w:rsid w:val="D7FAC49D"/>
    <w:rsid w:val="D9FF8C35"/>
    <w:rsid w:val="DA1B1AB8"/>
    <w:rsid w:val="DB6EC9AA"/>
    <w:rsid w:val="DB7D2E96"/>
    <w:rsid w:val="DBEF16AE"/>
    <w:rsid w:val="DBFFC804"/>
    <w:rsid w:val="DC3EF86F"/>
    <w:rsid w:val="DD8BD356"/>
    <w:rsid w:val="DDAB3C1B"/>
    <w:rsid w:val="DDB79D12"/>
    <w:rsid w:val="DDF1FC1F"/>
    <w:rsid w:val="DDFE5514"/>
    <w:rsid w:val="DE7E55B1"/>
    <w:rsid w:val="DE9FFE37"/>
    <w:rsid w:val="DEE91AE1"/>
    <w:rsid w:val="DEEDCFEB"/>
    <w:rsid w:val="DF1A70D5"/>
    <w:rsid w:val="DF2D2106"/>
    <w:rsid w:val="DF6D2485"/>
    <w:rsid w:val="DF9F953E"/>
    <w:rsid w:val="DFBE0E7F"/>
    <w:rsid w:val="DFDEACDA"/>
    <w:rsid w:val="DFEF8703"/>
    <w:rsid w:val="DFF10771"/>
    <w:rsid w:val="DFFB2190"/>
    <w:rsid w:val="DFFD25BD"/>
    <w:rsid w:val="DFFF1805"/>
    <w:rsid w:val="E3FF933A"/>
    <w:rsid w:val="E5AD5993"/>
    <w:rsid w:val="E6FE22CB"/>
    <w:rsid w:val="E73529D9"/>
    <w:rsid w:val="E759B9B4"/>
    <w:rsid w:val="E7EE0876"/>
    <w:rsid w:val="E979ADE9"/>
    <w:rsid w:val="E9FD95D2"/>
    <w:rsid w:val="EB7B8AA0"/>
    <w:rsid w:val="EB7DEA70"/>
    <w:rsid w:val="EBDEDA1C"/>
    <w:rsid w:val="EBE71397"/>
    <w:rsid w:val="EBFF2BED"/>
    <w:rsid w:val="ECEFD2C9"/>
    <w:rsid w:val="ED778783"/>
    <w:rsid w:val="EDF3F1DA"/>
    <w:rsid w:val="EDFBBD05"/>
    <w:rsid w:val="EE2F7A98"/>
    <w:rsid w:val="EE5734AE"/>
    <w:rsid w:val="EEF7844E"/>
    <w:rsid w:val="EEFA136B"/>
    <w:rsid w:val="EEFB9B2F"/>
    <w:rsid w:val="EEFD9FF9"/>
    <w:rsid w:val="EEFE09CA"/>
    <w:rsid w:val="EEFE46F4"/>
    <w:rsid w:val="EF5DE70F"/>
    <w:rsid w:val="EF5ECBD9"/>
    <w:rsid w:val="EF7F8E39"/>
    <w:rsid w:val="EF8BE8AA"/>
    <w:rsid w:val="EF9C00FC"/>
    <w:rsid w:val="EFBFD03E"/>
    <w:rsid w:val="EFCE139B"/>
    <w:rsid w:val="EFEC6FD2"/>
    <w:rsid w:val="EFEF4D74"/>
    <w:rsid w:val="EFF55C9C"/>
    <w:rsid w:val="EFFB533D"/>
    <w:rsid w:val="EFFCA4BF"/>
    <w:rsid w:val="F1F93F4D"/>
    <w:rsid w:val="F39E2616"/>
    <w:rsid w:val="F3EF918B"/>
    <w:rsid w:val="F3FB1E5D"/>
    <w:rsid w:val="F3FEF3B1"/>
    <w:rsid w:val="F4FEC443"/>
    <w:rsid w:val="F565694A"/>
    <w:rsid w:val="F5933D30"/>
    <w:rsid w:val="F6772190"/>
    <w:rsid w:val="F6777508"/>
    <w:rsid w:val="F6CF0C71"/>
    <w:rsid w:val="F6E72DAD"/>
    <w:rsid w:val="F6FB8CE4"/>
    <w:rsid w:val="F6FBDD36"/>
    <w:rsid w:val="F727E6E1"/>
    <w:rsid w:val="F75ECF5F"/>
    <w:rsid w:val="F79926D2"/>
    <w:rsid w:val="F7AD671D"/>
    <w:rsid w:val="F7CAE08D"/>
    <w:rsid w:val="F7CE3E76"/>
    <w:rsid w:val="F7FB29DE"/>
    <w:rsid w:val="F7FEFD0C"/>
    <w:rsid w:val="F87EE7E3"/>
    <w:rsid w:val="F9EA68D4"/>
    <w:rsid w:val="F9EF94D1"/>
    <w:rsid w:val="F9FEC90E"/>
    <w:rsid w:val="FAFDBCD3"/>
    <w:rsid w:val="FB2E6916"/>
    <w:rsid w:val="FB395C84"/>
    <w:rsid w:val="FB3F6F14"/>
    <w:rsid w:val="FB6E87E8"/>
    <w:rsid w:val="FB6F98BD"/>
    <w:rsid w:val="FB9B8285"/>
    <w:rsid w:val="FB9FAD0B"/>
    <w:rsid w:val="FBB0E51C"/>
    <w:rsid w:val="FBB3E492"/>
    <w:rsid w:val="FBBB6152"/>
    <w:rsid w:val="FBBFA274"/>
    <w:rsid w:val="FBD53F65"/>
    <w:rsid w:val="FBFB0601"/>
    <w:rsid w:val="FBFEEB1A"/>
    <w:rsid w:val="FBFF304D"/>
    <w:rsid w:val="FBFFF2DC"/>
    <w:rsid w:val="FC5FA68F"/>
    <w:rsid w:val="FC71FB7C"/>
    <w:rsid w:val="FC7B81BD"/>
    <w:rsid w:val="FCFBA357"/>
    <w:rsid w:val="FCFF5484"/>
    <w:rsid w:val="FCFFE62F"/>
    <w:rsid w:val="FD1D9939"/>
    <w:rsid w:val="FD7FE4D4"/>
    <w:rsid w:val="FD938831"/>
    <w:rsid w:val="FD97592B"/>
    <w:rsid w:val="FD977DF7"/>
    <w:rsid w:val="FDAB1519"/>
    <w:rsid w:val="FDAF8016"/>
    <w:rsid w:val="FDBFE8AC"/>
    <w:rsid w:val="FDEF973D"/>
    <w:rsid w:val="FDFC3DB5"/>
    <w:rsid w:val="FDFD2E15"/>
    <w:rsid w:val="FDFFB812"/>
    <w:rsid w:val="FDFFE938"/>
    <w:rsid w:val="FE0B0700"/>
    <w:rsid w:val="FE3BDEF9"/>
    <w:rsid w:val="FE5DF6D4"/>
    <w:rsid w:val="FE747D3C"/>
    <w:rsid w:val="FE77FE27"/>
    <w:rsid w:val="FEB772E8"/>
    <w:rsid w:val="FEBD164A"/>
    <w:rsid w:val="FEF92B35"/>
    <w:rsid w:val="FEFAFA46"/>
    <w:rsid w:val="FEFE081D"/>
    <w:rsid w:val="FEFEB135"/>
    <w:rsid w:val="FEFFEBB9"/>
    <w:rsid w:val="FF1F3A7A"/>
    <w:rsid w:val="FF26FDBC"/>
    <w:rsid w:val="FF3869D4"/>
    <w:rsid w:val="FF572C48"/>
    <w:rsid w:val="FF7A867F"/>
    <w:rsid w:val="FF7D6227"/>
    <w:rsid w:val="FF7E5FDD"/>
    <w:rsid w:val="FF95AC29"/>
    <w:rsid w:val="FF9D97B7"/>
    <w:rsid w:val="FFAF8018"/>
    <w:rsid w:val="FFB02FFF"/>
    <w:rsid w:val="FFBB0E21"/>
    <w:rsid w:val="FFC54842"/>
    <w:rsid w:val="FFCE395B"/>
    <w:rsid w:val="FFCF5AE5"/>
    <w:rsid w:val="FFD71ACE"/>
    <w:rsid w:val="FFDB0AE2"/>
    <w:rsid w:val="FFDEF75B"/>
    <w:rsid w:val="FFDFB8E9"/>
    <w:rsid w:val="FFDFD159"/>
    <w:rsid w:val="FFE634B8"/>
    <w:rsid w:val="FFEB9CCC"/>
    <w:rsid w:val="FFED95D2"/>
    <w:rsid w:val="FFEF0435"/>
    <w:rsid w:val="FFEF857B"/>
    <w:rsid w:val="FFF56F56"/>
    <w:rsid w:val="FFF72830"/>
    <w:rsid w:val="FFF72D9D"/>
    <w:rsid w:val="FFF92390"/>
    <w:rsid w:val="FFFBE74A"/>
    <w:rsid w:val="FFFCA7CB"/>
    <w:rsid w:val="FFFD19CA"/>
    <w:rsid w:val="FFFF4D39"/>
    <w:rsid w:val="FFFFF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Calibri" w:hAnsi="Calibri" w:eastAsia="宋体" w:cstheme="minorBidi"/>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qFormat/>
    <w:uiPriority w:val="9"/>
    <w:pPr>
      <w:keepNext/>
      <w:keepLines/>
      <w:widowControl w:val="0"/>
      <w:autoSpaceDE w:val="0"/>
      <w:autoSpaceDN w:val="0"/>
      <w:adjustRightInd w:val="0"/>
      <w:snapToGrid w:val="0"/>
      <w:spacing w:before="260" w:after="260" w:line="416" w:lineRule="auto"/>
      <w:jc w:val="both"/>
      <w:outlineLvl w:val="1"/>
    </w:pPr>
    <w:rPr>
      <w:rFonts w:ascii="Cambria" w:hAnsi="Cambria" w:eastAsia="宋体" w:cs="Times New Roman"/>
      <w:b/>
      <w:bCs/>
      <w:spacing w:val="6"/>
      <w:kern w:val="2"/>
      <w:sz w:val="30"/>
      <w:szCs w:val="32"/>
      <w:lang w:val="en-US" w:eastAsia="zh-CN" w:bidi="ar-SA"/>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5">
    <w:name w:val="Normal Indent"/>
    <w:basedOn w:val="1"/>
    <w:qFormat/>
    <w:uiPriority w:val="0"/>
    <w:pPr>
      <w:ind w:firstLine="420"/>
    </w:pPr>
  </w:style>
  <w:style w:type="paragraph" w:styleId="6">
    <w:name w:val="Body Text Indent"/>
    <w:basedOn w:val="1"/>
    <w:next w:val="7"/>
    <w:unhideWhenUsed/>
    <w:qFormat/>
    <w:uiPriority w:val="99"/>
    <w:pPr>
      <w:widowControl/>
      <w:spacing w:after="120"/>
      <w:ind w:left="420" w:leftChars="200"/>
      <w:jc w:val="left"/>
    </w:pPr>
    <w:rPr>
      <w:rFonts w:ascii="宋体" w:hAnsi="宋体" w:eastAsia="宋体" w:cs="宋体"/>
      <w:kern w:val="0"/>
      <w:sz w:val="24"/>
    </w:rPr>
  </w:style>
  <w:style w:type="paragraph" w:styleId="7">
    <w:name w:val="Body Text First Indent 2"/>
    <w:basedOn w:val="6"/>
    <w:unhideWhenUsed/>
    <w:qFormat/>
    <w:uiPriority w:val="99"/>
    <w:pPr>
      <w:ind w:firstLine="420" w:firstLineChars="200"/>
    </w:pPr>
  </w:style>
  <w:style w:type="paragraph" w:styleId="8">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footnote text"/>
    <w:basedOn w:val="1"/>
    <w:next w:val="7"/>
    <w:semiHidden/>
    <w:qFormat/>
    <w:uiPriority w:val="0"/>
    <w:pPr>
      <w:snapToGrid w:val="0"/>
      <w:jc w:val="left"/>
    </w:pPr>
    <w:rPr>
      <w:sz w:val="18"/>
      <w:szCs w:val="18"/>
    </w:rPr>
  </w:style>
  <w:style w:type="paragraph" w:styleId="12">
    <w:name w:val="toc 2"/>
    <w:basedOn w:val="1"/>
    <w:next w:val="1"/>
    <w:unhideWhenUsed/>
    <w:qFormat/>
    <w:uiPriority w:val="39"/>
    <w:pPr>
      <w:tabs>
        <w:tab w:val="right" w:leader="dot" w:pos="8296"/>
      </w:tabs>
      <w:ind w:left="420" w:leftChars="200"/>
    </w:pPr>
  </w:style>
  <w:style w:type="paragraph" w:styleId="13">
    <w:name w:val="Body Text First Indent"/>
    <w:basedOn w:val="2"/>
    <w:unhideWhenUsed/>
    <w:qFormat/>
    <w:uiPriority w:val="99"/>
    <w:pPr>
      <w:ind w:firstLine="420" w:firstLineChars="100"/>
    </w:pPr>
  </w:style>
  <w:style w:type="character" w:styleId="16">
    <w:name w:val="Strong"/>
    <w:basedOn w:val="15"/>
    <w:qFormat/>
    <w:uiPriority w:val="99"/>
    <w:rPr>
      <w:b/>
    </w:rPr>
  </w:style>
  <w:style w:type="paragraph" w:customStyle="1" w:styleId="17">
    <w:name w:val="NormalIndent"/>
    <w:basedOn w:val="1"/>
    <w:qFormat/>
    <w:uiPriority w:val="0"/>
    <w:pPr>
      <w:ind w:firstLine="200" w:firstLineChars="200"/>
    </w:pPr>
  </w:style>
  <w:style w:type="character" w:customStyle="1" w:styleId="18">
    <w:name w:val="NormalCharacter"/>
    <w:semiHidden/>
    <w:qFormat/>
    <w:uiPriority w:val="0"/>
  </w:style>
  <w:style w:type="character" w:customStyle="1" w:styleId="19">
    <w:name w:val="标题 1 Char"/>
    <w:basedOn w:val="15"/>
    <w:link w:val="3"/>
    <w:qFormat/>
    <w:uiPriority w:val="9"/>
    <w:rPr>
      <w:b/>
      <w:bCs/>
      <w:kern w:val="44"/>
      <w:sz w:val="44"/>
      <w:szCs w:val="44"/>
    </w:rPr>
  </w:style>
  <w:style w:type="character" w:customStyle="1" w:styleId="20">
    <w:name w:val="标题 2 Char"/>
    <w:basedOn w:val="15"/>
    <w:link w:val="4"/>
    <w:qFormat/>
    <w:uiPriority w:val="9"/>
    <w:rPr>
      <w:rFonts w:ascii="Cambria" w:hAnsi="Cambria" w:eastAsia="宋体" w:cs="Times New Roman"/>
      <w:b/>
      <w:bCs/>
      <w:spacing w:val="6"/>
      <w:kern w:val="2"/>
      <w:sz w:val="30"/>
      <w:szCs w:val="32"/>
      <w:lang w:val="en-US" w:eastAsia="zh-CN" w:bidi="ar-SA"/>
    </w:rPr>
  </w:style>
  <w:style w:type="paragraph" w:styleId="21">
    <w:name w:val="List Paragraph"/>
    <w:basedOn w:val="1"/>
    <w:qFormat/>
    <w:uiPriority w:val="34"/>
    <w:pPr>
      <w:ind w:firstLine="420" w:firstLineChars="200"/>
    </w:p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chart" Target="charts/chart6.xml"/><Relationship Id="rId14" Type="http://schemas.openxmlformats.org/officeDocument/2006/relationships/chart" Target="charts/chart5.xml"/><Relationship Id="rId13" Type="http://schemas.openxmlformats.org/officeDocument/2006/relationships/chart" Target="charts/chart4.xml"/><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123\&#24180;&#26411;&#20915;&#31639;&#24037;&#20316;\2024&#24180;&#20915;&#31639;&#20844;&#24320;\2023&#24180;&#20915;&#31639;&#20844;&#24320;&#25968;&#25454;%20&#22270;&#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3&#24180;&#20915;&#31639;&#20844;&#24320;&#25968;&#25454;%20&#22270;&#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3&#24180;&#20915;&#31639;&#20844;&#24320;&#25968;&#25454;%20&#22270;&#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3&#24180;&#20915;&#31639;&#20844;&#24320;&#25968;&#25454;%20&#22270;&#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3&#24180;&#20915;&#31639;&#20844;&#24320;&#25968;&#25454;%20&#22270;&#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3&#24180;&#20915;&#31639;&#20844;&#24320;&#25968;&#25454;%20&#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收、支决算总计变动情况图（万元）</a:t>
            </a:r>
          </a:p>
        </c:rich>
      </c:tx>
      <c:layout/>
      <c:overlay val="0"/>
      <c:spPr>
        <a:noFill/>
        <a:ln>
          <a:noFill/>
        </a:ln>
        <a:effectLst/>
      </c:spPr>
    </c:title>
    <c:autoTitleDeleted val="0"/>
    <c:plotArea>
      <c:layout>
        <c:manualLayout>
          <c:layoutTarget val="inner"/>
          <c:xMode val="edge"/>
          <c:yMode val="edge"/>
          <c:x val="0.104449920278301"/>
          <c:y val="0.181530984204131"/>
          <c:w val="0.863661400202928"/>
          <c:h val="0.587217496962333"/>
        </c:manualLayout>
      </c:layout>
      <c:barChart>
        <c:barDir val="col"/>
        <c:grouping val="clustered"/>
        <c:varyColors val="0"/>
        <c:ser>
          <c:idx val="0"/>
          <c:order val="0"/>
          <c:tx>
            <c:strRef>
              <c:f>'[2023年决算公开数据 图表.xlsx]Sheet1 (2)'!$A$3</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 (2)'!$B$2:$C$2</c:f>
              <c:strCache>
                <c:ptCount val="2"/>
                <c:pt idx="0">
                  <c:v>总收入</c:v>
                </c:pt>
                <c:pt idx="1">
                  <c:v>总支出</c:v>
                </c:pt>
              </c:strCache>
            </c:strRef>
          </c:cat>
          <c:val>
            <c:numRef>
              <c:f>'[2023年决算公开数据 图表.xlsx]Sheet1 (2)'!$B$3:$C$3</c:f>
              <c:numCache>
                <c:formatCode>General</c:formatCode>
                <c:ptCount val="2"/>
                <c:pt idx="0">
                  <c:v>60078.81</c:v>
                </c:pt>
                <c:pt idx="1">
                  <c:v>64217.15</c:v>
                </c:pt>
              </c:numCache>
            </c:numRef>
          </c:val>
        </c:ser>
        <c:ser>
          <c:idx val="1"/>
          <c:order val="1"/>
          <c:tx>
            <c:strRef>
              <c:f>'[2023年决算公开数据 图表.xlsx]Sheet1 (2)'!$A$4</c:f>
              <c:strCache>
                <c:ptCount val="1"/>
                <c:pt idx="0">
                  <c:v>2022年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 (2)'!$B$2:$C$2</c:f>
              <c:strCache>
                <c:ptCount val="2"/>
                <c:pt idx="0">
                  <c:v>总收入</c:v>
                </c:pt>
                <c:pt idx="1">
                  <c:v>总支出</c:v>
                </c:pt>
              </c:strCache>
            </c:strRef>
          </c:cat>
          <c:val>
            <c:numRef>
              <c:f>'[2023年决算公开数据 图表.xlsx]Sheet1 (2)'!$B$4:$C$4</c:f>
              <c:numCache>
                <c:formatCode>General</c:formatCode>
                <c:ptCount val="2"/>
                <c:pt idx="0">
                  <c:v>60587.95</c:v>
                </c:pt>
                <c:pt idx="1">
                  <c:v>63808.82</c:v>
                </c:pt>
              </c:numCache>
            </c:numRef>
          </c:val>
        </c:ser>
        <c:dLbls>
          <c:showLegendKey val="0"/>
          <c:showVal val="1"/>
          <c:showCatName val="0"/>
          <c:showSerName val="0"/>
          <c:showPercent val="0"/>
          <c:showBubbleSize val="0"/>
        </c:dLbls>
        <c:gapWidth val="246"/>
        <c:overlap val="-28"/>
        <c:axId val="784558425"/>
        <c:axId val="539904354"/>
      </c:barChart>
      <c:catAx>
        <c:axId val="78455842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9904354"/>
        <c:crosses val="autoZero"/>
        <c:auto val="1"/>
        <c:lblAlgn val="ctr"/>
        <c:lblOffset val="100"/>
        <c:noMultiLvlLbl val="0"/>
      </c:catAx>
      <c:valAx>
        <c:axId val="53990435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455842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2023年收入决算结构图 （万元）</a:t>
            </a:r>
          </a:p>
        </c:rich>
      </c:tx>
      <c:layout>
        <c:manualLayout>
          <c:xMode val="edge"/>
          <c:yMode val="edge"/>
          <c:x val="0.194340311587147"/>
          <c:y val="0.0286355397824485"/>
        </c:manualLayout>
      </c:layout>
      <c:overlay val="0"/>
      <c:spPr>
        <a:noFill/>
        <a:ln>
          <a:noFill/>
        </a:ln>
        <a:effectLst/>
      </c:spPr>
    </c:title>
    <c:autoTitleDeleted val="0"/>
    <c:plotArea>
      <c:layout/>
      <c:pieChart>
        <c:varyColors val="1"/>
        <c:ser>
          <c:idx val="0"/>
          <c:order val="0"/>
          <c:spPr/>
          <c:explosion val="0"/>
          <c:dLbls>
            <c:delete val="1"/>
          </c:dLbls>
          <c:cat>
            <c:strRef>
              <c:f>'[2023年决算公开数据 图表.xlsx]Sheet1'!$C$70:$E$70</c:f>
              <c:strCache>
                <c:ptCount val="3"/>
                <c:pt idx="0">
                  <c:v>财政拨款收入</c:v>
                </c:pt>
                <c:pt idx="1">
                  <c:v>事业收入</c:v>
                </c:pt>
                <c:pt idx="2">
                  <c:v>其他收入</c:v>
                </c:pt>
              </c:strCache>
            </c:strRef>
          </c:cat>
          <c:val>
            <c:numRef>
              <c:f>'[2023年决算公开数据 图表.xlsx]Sheet1'!$C$71:$E$71</c:f>
            </c:numRef>
          </c:val>
        </c:ser>
        <c:ser>
          <c:idx val="1"/>
          <c:order val="1"/>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194501306888134"/>
                  <c:y val="-0.0413978178030865"/>
                </c:manualLayout>
              </c:layout>
              <c:tx>
                <c:rich>
                  <a:bodyPr rot="0" spcFirstLastPara="0" vertOverflow="ellipsis" vert="horz" wrap="square" lIns="38100" tIns="19050" rIns="38100" bIns="19050" anchor="ctr" anchorCtr="1"/>
                  <a:lstStyle/>
                  <a:p>
                    <a:pPr defTabSz="914400">
                      <a:defRPr lang="zh-CN" sz="9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r>
                      <a:t>37420.67</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151633454019561"/>
                  <c:y val="0.0632232179526787"/>
                </c:manualLayout>
              </c:layout>
              <c:tx>
                <c:rich>
                  <a:bodyPr rot="0" spcFirstLastPara="0" vertOverflow="ellipsis" vert="horz" wrap="square" lIns="38100" tIns="19050" rIns="38100" bIns="19050" anchor="ctr" anchorCtr="1"/>
                  <a:lstStyle/>
                  <a:p>
                    <a:pPr defTabSz="914400">
                      <a:defRPr lang="zh-CN" sz="9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r>
                      <a:t>20224.25</a:t>
                    </a:r>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130427901803616"/>
                  <c:y val="0.021784154785265"/>
                </c:manualLayout>
              </c:layout>
              <c:tx>
                <c:rich>
                  <a:bodyPr rot="0" spcFirstLastPara="0" vertOverflow="ellipsis" vert="horz" wrap="square" lIns="38100" tIns="19050" rIns="38100" bIns="19050" anchor="ctr" anchorCtr="1"/>
                  <a:lstStyle/>
                  <a:p>
                    <a:pPr defTabSz="914400">
                      <a:defRPr lang="zh-CN" sz="9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r>
                      <a:rPr sz="900" b="1" u="none" strike="noStrike" cap="none" normalizeH="0">
                        <a:solidFill>
                          <a:schemeClr val="tx1">
                            <a:lumMod val="75000"/>
                            <a:lumOff val="25000"/>
                          </a:schemeClr>
                        </a:solidFill>
                        <a:uFill>
                          <a:solidFill>
                            <a:schemeClr val="tx1">
                              <a:lumMod val="75000"/>
                              <a:lumOff val="25000"/>
                            </a:schemeClr>
                          </a:solidFill>
                        </a:uFill>
                      </a:rPr>
                      <a:t>2433.88</a:t>
                    </a:r>
                    <a:endParaRPr sz="900" b="1" u="none" strike="noStrike" cap="none" normalizeH="0">
                      <a:solidFill>
                        <a:schemeClr val="tx1">
                          <a:lumMod val="75000"/>
                          <a:lumOff val="25000"/>
                        </a:schemeClr>
                      </a:solidFill>
                      <a:uFill>
                        <a:solidFill>
                          <a:schemeClr val="tx1">
                            <a:lumMod val="75000"/>
                            <a:lumOff val="25000"/>
                          </a:schemeClr>
                        </a:solidFill>
                      </a:uFill>
                    </a:endParaRPr>
                  </a:p>
                </c:rich>
              </c:tx>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15:layout>
                    <c:manualLayout>
                      <c:w val="0.215179699161787"/>
                      <c:h val="0.0592905405405405"/>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图表.xlsx]Sheet1'!$C$70:$E$70</c:f>
              <c:strCache>
                <c:ptCount val="3"/>
                <c:pt idx="0">
                  <c:v>财政拨款收入</c:v>
                </c:pt>
                <c:pt idx="1">
                  <c:v>事业收入</c:v>
                </c:pt>
                <c:pt idx="2">
                  <c:v>其他收入</c:v>
                </c:pt>
              </c:strCache>
            </c:strRef>
          </c:cat>
          <c:val>
            <c:numRef>
              <c:f>'[2023年决算公开数据 图表.xlsx]Sheet1'!$C$72:$E$72</c:f>
              <c:numCache>
                <c:formatCode>General</c:formatCode>
                <c:ptCount val="3"/>
                <c:pt idx="0">
                  <c:v>37420.67</c:v>
                </c:pt>
                <c:pt idx="1">
                  <c:v>20224.25</c:v>
                </c:pt>
                <c:pt idx="2">
                  <c:v>2433.88</c:v>
                </c:pt>
              </c:numCache>
            </c:numRef>
          </c:val>
        </c:ser>
        <c:ser>
          <c:idx val="2"/>
          <c:order val="2"/>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elete val="1"/>
          </c:dLbls>
          <c:cat>
            <c:strRef>
              <c:f>'[2023年决算公开数据 图表.xlsx]Sheet1'!$C$70:$E$70</c:f>
              <c:strCache>
                <c:ptCount val="3"/>
                <c:pt idx="0">
                  <c:v>财政拨款收入</c:v>
                </c:pt>
                <c:pt idx="1">
                  <c:v>事业收入</c:v>
                </c:pt>
                <c:pt idx="2">
                  <c:v>其他收入</c:v>
                </c:pt>
              </c:strCache>
            </c:strRef>
          </c:cat>
          <c:val>
            <c:numRef>
              <c:f>'[2023年决算公开数据 图表.xlsx]Sheet1'!$C$73:$E$73</c:f>
              <c:numCache>
                <c:formatCode>0.00%</c:formatCode>
                <c:ptCount val="3"/>
                <c:pt idx="0">
                  <c:v>0.622859707108047</c:v>
                </c:pt>
                <c:pt idx="1">
                  <c:v>0.336628671573222</c:v>
                </c:pt>
                <c:pt idx="2">
                  <c:v>0.040511454870694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0.250189146126129"/>
          <c:y val="0.1657778601377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2023年支出决算结构图</a:t>
            </a:r>
          </a:p>
        </c:rich>
      </c:tx>
      <c:layout/>
      <c:overlay val="0"/>
      <c:spPr>
        <a:noFill/>
        <a:ln>
          <a:noFill/>
        </a:ln>
        <a:effectLst/>
      </c:spPr>
    </c:title>
    <c:autoTitleDeleted val="0"/>
    <c:plotArea>
      <c:layout/>
      <c:pieChart>
        <c:varyColors val="1"/>
        <c:ser>
          <c:idx val="0"/>
          <c:order val="0"/>
          <c:tx>
            <c:strRef>
              <c:f>'[2023年决算公开数据 图表.xlsx]Sheet1'!$A$169</c:f>
              <c:strCache>
                <c:ptCount val="1"/>
                <c:pt idx="0">
                  <c:v>2023年</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119355232323693"/>
                  <c:y val="-0.217997696945711"/>
                </c:manualLayout>
              </c:layout>
              <c:tx>
                <c:rich>
                  <a:bodyPr rot="0" spcFirstLastPara="0" vertOverflow="ellipsis" vert="horz" wrap="square" lIns="38100" tIns="19050" rIns="38100" bIns="19050" anchor="ctr" anchorCtr="1"/>
                  <a:lstStyle/>
                  <a:p>
                    <a:pPr defTabSz="914400">
                      <a:defRPr lang="zh-CN" sz="10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r>
                      <a:t>基本支出, 73.4%</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07582990832989"/>
                  <c:y val="0.131761559108585"/>
                </c:manualLayout>
              </c:layout>
              <c:tx>
                <c:rich>
                  <a:bodyPr rot="0" spcFirstLastPara="0" vertOverflow="ellipsis" vert="horz" wrap="square" lIns="38100" tIns="19050" rIns="38100" bIns="19050" anchor="ctr" anchorCtr="1"/>
                  <a:lstStyle/>
                  <a:p>
                    <a:pPr defTabSz="914400">
                      <a:defRPr lang="zh-CN" sz="10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r>
                      <a:t>项目支出, 26.</a:t>
                    </a:r>
                    <a:r>
                      <a:rPr lang="en-US" altLang="zh-CN"/>
                      <a:t>6</a:t>
                    </a:r>
                    <a:r>
                      <a:t>%</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1"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图表.xlsx]Sheet1'!$B$168:$C$168</c:f>
              <c:strCache>
                <c:ptCount val="2"/>
                <c:pt idx="0">
                  <c:v>基本支出</c:v>
                </c:pt>
                <c:pt idx="1">
                  <c:v>项目支出</c:v>
                </c:pt>
              </c:strCache>
            </c:strRef>
          </c:cat>
          <c:val>
            <c:numRef>
              <c:f>'[2023年决算公开数据 图表.xlsx]Sheet1'!$B$169:$C$169</c:f>
              <c:numCache>
                <c:formatCode>0.00%</c:formatCode>
                <c:ptCount val="2"/>
                <c:pt idx="0">
                  <c:v>0.7342</c:v>
                </c:pt>
                <c:pt idx="1">
                  <c:v>0.2658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322243022464261"/>
          <c:y val="0.14858841010401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财政拨款收、支总计决算变动情况  （万元）</a:t>
            </a:r>
          </a:p>
          <a:p>
            <a:pPr defTabSz="914400">
              <a:defRPr lang="zh-CN" sz="1400" b="1" i="0" u="none" strike="noStrike" kern="1200" baseline="0">
                <a:solidFill>
                  <a:schemeClr val="tx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tx>
            <c:strRef>
              <c:f>'[2023年决算公开数据 图表.xlsx]Sheet1'!$J$199</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图表.xlsx]Sheet1'!$K$198:$L$198</c:f>
              <c:strCache>
                <c:ptCount val="2"/>
                <c:pt idx="0">
                  <c:v>财政拨款收入</c:v>
                </c:pt>
                <c:pt idx="1">
                  <c:v>财政拨款支出</c:v>
                </c:pt>
              </c:strCache>
            </c:strRef>
          </c:cat>
          <c:val>
            <c:numRef>
              <c:f>'[2023年决算公开数据 图表.xlsx]Sheet1'!$K$199:$L$199</c:f>
              <c:numCache>
                <c:formatCode>General</c:formatCode>
                <c:ptCount val="2"/>
                <c:pt idx="0">
                  <c:v>42939.93</c:v>
                </c:pt>
                <c:pt idx="1">
                  <c:v>42939.93</c:v>
                </c:pt>
              </c:numCache>
            </c:numRef>
          </c:val>
        </c:ser>
        <c:ser>
          <c:idx val="1"/>
          <c:order val="1"/>
          <c:tx>
            <c:strRef>
              <c:f>'[2023年决算公开数据 图表.xlsx]Sheet1'!$J$200</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图表.xlsx]Sheet1'!$K$198:$L$198</c:f>
              <c:strCache>
                <c:ptCount val="2"/>
                <c:pt idx="0">
                  <c:v>财政拨款收入</c:v>
                </c:pt>
                <c:pt idx="1">
                  <c:v>财政拨款支出</c:v>
                </c:pt>
              </c:strCache>
            </c:strRef>
          </c:cat>
          <c:val>
            <c:numRef>
              <c:f>'[2023年决算公开数据 图表.xlsx]Sheet1'!$K$200:$L$200</c:f>
              <c:numCache>
                <c:formatCode>General</c:formatCode>
                <c:ptCount val="2"/>
                <c:pt idx="0">
                  <c:v>37420.67</c:v>
                </c:pt>
                <c:pt idx="1">
                  <c:v>37420.67</c:v>
                </c:pt>
              </c:numCache>
            </c:numRef>
          </c:val>
        </c:ser>
        <c:dLbls>
          <c:showLegendKey val="0"/>
          <c:showVal val="1"/>
          <c:showCatName val="0"/>
          <c:showSerName val="0"/>
          <c:showPercent val="0"/>
          <c:showBubbleSize val="0"/>
        </c:dLbls>
        <c:gapWidth val="246"/>
        <c:overlap val="-28"/>
        <c:axId val="939235687"/>
        <c:axId val="341126201"/>
      </c:barChart>
      <c:catAx>
        <c:axId val="93923568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1126201"/>
        <c:crosses val="autoZero"/>
        <c:auto val="1"/>
        <c:lblAlgn val="ctr"/>
        <c:lblOffset val="100"/>
        <c:noMultiLvlLbl val="0"/>
      </c:catAx>
      <c:valAx>
        <c:axId val="341126201"/>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9235687"/>
        <c:crosses val="autoZero"/>
        <c:crossBetween val="between"/>
      </c:valAx>
      <c:spPr>
        <a:noFill/>
        <a:ln>
          <a:noFill/>
        </a:ln>
        <a:effectLst/>
      </c:spPr>
    </c:plotArea>
    <c:legend>
      <c:legendPos val="b"/>
      <c:layout>
        <c:manualLayout>
          <c:xMode val="edge"/>
          <c:yMode val="edge"/>
          <c:x val="0.411384717314488"/>
          <c:y val="0.89530685920577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一般公共预算财政拨款支出决算变动情况 （万元）</a:t>
            </a:r>
          </a:p>
        </c:rich>
      </c:tx>
      <c:layout/>
      <c:overlay val="0"/>
      <c:spPr>
        <a:noFill/>
        <a:ln>
          <a:noFill/>
        </a:ln>
        <a:effectLst/>
      </c:spPr>
    </c:title>
    <c:autoTitleDeleted val="0"/>
    <c:plotArea>
      <c:layout/>
      <c:barChart>
        <c:barDir val="col"/>
        <c:grouping val="clustered"/>
        <c:varyColors val="0"/>
        <c:ser>
          <c:idx val="0"/>
          <c:order val="0"/>
          <c:tx>
            <c:strRef>
              <c:f>'[2023年决算公开数据 图表.xlsx]Sheet1'!$J$230</c:f>
              <c:strCache>
                <c:ptCount val="1"/>
                <c:pt idx="0">
                  <c:v>财政拨款支出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图表.xlsx]Sheet1'!$I$231:$I$232</c:f>
              <c:strCache>
                <c:ptCount val="2"/>
                <c:pt idx="0">
                  <c:v>2022年</c:v>
                </c:pt>
                <c:pt idx="1">
                  <c:v>2023年</c:v>
                </c:pt>
              </c:strCache>
            </c:strRef>
          </c:cat>
          <c:val>
            <c:numRef>
              <c:f>'[2023年决算公开数据 图表.xlsx]Sheet1'!$J$231:$J$232</c:f>
              <c:numCache>
                <c:formatCode>General</c:formatCode>
                <c:ptCount val="2"/>
                <c:pt idx="0">
                  <c:v>42939.93</c:v>
                </c:pt>
                <c:pt idx="1">
                  <c:v>37420.67</c:v>
                </c:pt>
              </c:numCache>
            </c:numRef>
          </c:val>
        </c:ser>
        <c:dLbls>
          <c:showLegendKey val="0"/>
          <c:showVal val="1"/>
          <c:showCatName val="0"/>
          <c:showSerName val="0"/>
          <c:showPercent val="0"/>
          <c:showBubbleSize val="0"/>
        </c:dLbls>
        <c:gapWidth val="246"/>
        <c:overlap val="-28"/>
        <c:axId val="166028496"/>
        <c:axId val="767660076"/>
      </c:barChart>
      <c:catAx>
        <c:axId val="1660284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7660076"/>
        <c:crosses val="autoZero"/>
        <c:auto val="1"/>
        <c:lblAlgn val="ctr"/>
        <c:lblOffset val="100"/>
        <c:noMultiLvlLbl val="0"/>
      </c:catAx>
      <c:valAx>
        <c:axId val="76766007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60284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一般公共预算财政拨款支出决算结构情况  （%）</a:t>
            </a:r>
          </a:p>
        </c:rich>
      </c:tx>
      <c:layout>
        <c:manualLayout>
          <c:xMode val="edge"/>
          <c:yMode val="edge"/>
          <c:x val="0.137219451371571"/>
          <c:y val="0.020401224073444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Lbl>
              <c:idx val="0"/>
              <c:layout>
                <c:manualLayout>
                  <c:x val="0.0367596539154251"/>
                  <c:y val="-0.20008334895863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教育支出98.3%</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18781593878121"/>
                  <c:y val="0.0230000143850505"/>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科学技术支出0.</a:t>
                    </a:r>
                    <a:r>
                      <a:rPr lang="en-US" altLang="zh-CN"/>
                      <a:t>8</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141345783818"/>
                  <c:y val="0.13798710208249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33805969716964"/>
                  <c:y val="0.046869713286114"/>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卫生健康支出0.</a:t>
                    </a:r>
                    <a:r>
                      <a:rPr lang="en-US" altLang="zh-CN"/>
                      <a:t>9</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'[2023年决算公开数据 图表.xlsx]Sheet1'!$I$264:$I$267</c:f>
              <c:strCache>
                <c:ptCount val="4"/>
                <c:pt idx="0">
                  <c:v>教育支出</c:v>
                </c:pt>
                <c:pt idx="1">
                  <c:v>科学技术支出</c:v>
                </c:pt>
                <c:pt idx="2">
                  <c:v>社会保障和就业支出</c:v>
                </c:pt>
                <c:pt idx="3">
                  <c:v>卫生健康支出</c:v>
                </c:pt>
              </c:strCache>
            </c:strRef>
          </c:cat>
          <c:val>
            <c:numRef>
              <c:f>'[2023年决算公开数据 图表.xlsx]Sheet1'!$J$264:$J$267</c:f>
              <c:numCache>
                <c:formatCode>#,##0.00</c:formatCode>
                <c:ptCount val="4"/>
                <c:pt idx="0">
                  <c:v>36797.65</c:v>
                </c:pt>
                <c:pt idx="1" c:formatCode="General">
                  <c:v>288.82</c:v>
                </c:pt>
                <c:pt idx="2" c:formatCode="General">
                  <c:v>6.03</c:v>
                </c:pt>
                <c:pt idx="3" c:formatCode="General">
                  <c:v>328.18</c:v>
                </c:pt>
              </c:numCache>
            </c:numRef>
          </c:val>
        </c:ser>
        <c:dLbls>
          <c:showLegendKey val="0"/>
          <c:showVal val="0"/>
          <c:showCatName val="1"/>
          <c:showSerName val="0"/>
          <c:showPercent val="1"/>
          <c:showBubbleSize val="0"/>
          <c:showLeaderLines val="1"/>
        </c:dLbls>
        <c:firstSliceAng val="0"/>
      </c:pieChart>
      <c:spPr>
        <a:noFill/>
        <a:ln>
          <a:noFill/>
        </a:ln>
        <a:effectLst/>
      </c:spPr>
    </c:plotArea>
    <c:legend>
      <c:legendPos val="t"/>
      <c:layout>
        <c:manualLayout>
          <c:xMode val="edge"/>
          <c:yMode val="edge"/>
          <c:x val="0.169960869770404"/>
          <c:y val="0.91955585311592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4759</Words>
  <Characters>5276</Characters>
  <Lines>0</Lines>
  <Paragraphs>0</Paragraphs>
  <TotalTime>8</TotalTime>
  <ScaleCrop>false</ScaleCrop>
  <LinksUpToDate>false</LinksUpToDate>
  <CharactersWithSpaces>5320</CharactersWithSpaces>
  <Application>WPS Office_12.1.0.18196_F1E327BC-269C-435d-A152-05C5408002CA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2023-11-18T00:48:00Z</dcterms:created>
  <dc:creator>w7</dc:creator>
  <cp:lastModifiedBy>Zz</cp:lastModifiedBy>
  <cp:lastPrinted>2024-09-12T07:51:08Z</cp:lastPrinted>
  <dcterms:modified xsi:type="dcterms:W3CDTF">2024-09-12T08:12:32Z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ICV">
    <vt:lpwstr>3490331FD7F440399A6F1311324F123E_13</vt:lpwstr>
  </property>
</Properties>
</file>