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240" w:lineRule="auto"/>
        <w:ind w:left="0" w:leftChars="0" w:right="0" w:rightChars="0" w:firstLine="0" w:firstLineChars="0"/>
        <w:jc w:val="both"/>
        <w:textAlignment w:val="auto"/>
        <w:outlineLvl w:val="9"/>
        <w:rPr>
          <w:rFonts w:hint="eastAsia"/>
          <w:sz w:val="24"/>
          <w:lang w:val="en-US"/>
        </w:rPr>
      </w:pPr>
      <w:r>
        <w:rPr>
          <w:rFonts w:hint="eastAsia" w:ascii="黑体" w:hAnsi="黑体" w:eastAsia="黑体" w:cs="黑体"/>
          <w:sz w:val="44"/>
          <w:szCs w:val="44"/>
          <w:lang w:val="en-US"/>
        </w:rPr>
        <w:t>绝不允许不正之风和腐败问题有存在之地</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0" w:firstLineChars="0"/>
        <w:jc w:val="righ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——川北医学院高校违纪案例警示学习材料</w:t>
      </w:r>
    </w:p>
    <w:p>
      <w:pPr>
        <w:keepNext w:val="0"/>
        <w:keepLines w:val="0"/>
        <w:pageBreakBefore w:val="0"/>
        <w:widowControl w:val="0"/>
        <w:kinsoku/>
        <w:wordWrap/>
        <w:overflowPunct/>
        <w:topLinePunct w:val="0"/>
        <w:autoSpaceDE/>
        <w:autoSpaceDN/>
        <w:bidi w:val="0"/>
        <w:adjustRightInd/>
        <w:snapToGrid/>
        <w:spacing w:before="159" w:beforeLines="50" w:beforeAutospacing="0"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近期，教育部密集通报了中国传媒大学、中央音乐学院、北京邮电大学、对外经济贸易大学等4所高校的违纪问题典型案件。一周内两次通报4所高校党员干部违纪问题，释放出一种强烈信号：党风廉政建设和反腐败斗争是一场输不起的斗争，全面从严治党是各级党组织的政治使命，贯彻中央八项规定精神、坚决反对和纠正“四风”是硬任务，教育系统绝不允许不正之风和腐败问题有存在之地，也绝不允许个别领导干部在其位不履职、不尽责、不担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教育部通报如下：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11月24日，教育部党组研究决定，对中国传媒大学党委书记陈文申、校长苏志武等8名党员领导干部违纪问题进行通报，按照程序分别给予纪律处分和组织处理。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中国传媒大学党委书记陈文申，在中央八项规定出台后，一直违规超标使用公务车辆，违规占用下属单位车辆。作为党委书记，对学校党委管党治党不力、主体责任落实不到位、贯彻落实中央八项规定精神严重不力负直接责任和重要领导责任。教育部党组决定对陈文申进行通报批评。涉及党纪处分商北京市纪委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中国传媒大学党委常委、校长苏志武，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中国传媒大学党委常委、副校长吕志胜，在中央八项规定出台后，长期违规超标准使用公务车辆，办公用房严重超标，违规使用由原办公室隔出的储物间和会议室。作为分管副校长，不能正确履行行政监管职责，对学校财务管理混乱、“三公经费”列支不真实、严重超预算和有关部门向组织报告不实等负直接责任和主要领导责任。教育部党组研究决定，给予吕志胜行政记过处分，免去其副校长职务。涉及党纪处分商北京市纪委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中国传媒大学党委校长办公室主任姜纳新、财务处处长刘湧、后勤处处长周哲、党委校长办公室行政科科长铁俊及秘书科副科长陈莹峰，在接受组织检查询问时，提供虚假情况和材料，应付巡视检查和组织调查问题。中国传媒大学党委常委会研究决定，撤销姜纳新党委校长办公室主任职务，由正处级降为副处级；给予周哲党内严重警告处分，免去后勤处处长职务；给予陈莹峰党内严重警告处分，免去党委校长办公室秘书科副科长职务；对刘湧、铁俊进行诫勉谈话，调离原岗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12月1日，教育部党组召开视频会，对近期查处的中央音乐学院、北京邮电大学、对外经济贸易大学等3所部属高校4起违反中央八项规定精神问题等典型案件进行通报。教育部党组成员出席会议，部机关副处级以上党员领导干部、直属单位领导班子成员，以及直属高校领导班子成员和部处、院系党政主要负责同志分别在主会场和75个分会场参加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中央音乐学院党委常委、院长王次炤为其女违规操办婚宴问题。经查，2015年6月，王次炤在其女儿举办婚礼中，利用职务便利，接受与该校有共建关系北京某国际艺术中心提供的婚宴优惠价格，邀请学校同事、下属参加婚礼并为婚礼服务（其中包括学校领导班子成员5人），造成不良影响，其行为违反中央八项规定精神和党的廉洁纪律。学校党委书记郭淑兰作为全面从严治党的第一责任人，对王次炤为其女违规操办婚礼虽有要求但未予阻止，亲自出席婚宴并致辞，没有严格履行主体责任。学校党委副书记、纪委书记逄焕磊作为落实党风廉政建设监督责任的第一人，对王次炤为其女违规操办婚礼未予阻止，亲自出席婚宴，没有严格履行监督责任。经教育部党组、北京市纪委研究决定，给予王次炤党内严重警告处分，免去其中央音乐学院党委常委、委员、院长职务；分别给予郭淑兰、逄焕磊党内警告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北京邮电大学虚列支出套取资金设立“小金库”问题。经查，自2003年起，特别是中央八项规定出台以后，北京邮电大学有关部门及科研人员通过列支会议费、餐费、住宿费等方式，将套取资金（主要为科研经费）支付到北邮科技酒店，用于有关支出，结余资金形成“小金库”，涉及资金达到280余万元，造成国家和学校资金流失，严重违反工作纪律、财经纪律和廉洁纪律。该校出现大范围违规违纪问题，既反映了学校监管工作失之于宽、失之于软，制度执行不到位，也反映了学校对党员干部教育、监督、管理不严格，党风廉政建设主体责任和监督责任落实不到位。为严肃执纪问责，经教育部党组、北京市纪委研究决定，给予负有领导责任的北京邮电大学党委常委、副校长杨放春党内严重警告处分，免去其北京邮电大学党委常委、委员、副校长职务；给予党委书记王亚杰党内严重警告处分，给予党委副书记、纪委书记董晞党内警告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eastAsia="仿宋"/>
          <w:sz w:val="32"/>
          <w:lang w:val="en-US" w:eastAsia="zh-CN"/>
        </w:rPr>
      </w:pPr>
      <w:r>
        <w:rPr>
          <w:rFonts w:hint="eastAsia" w:eastAsia="仿宋"/>
          <w:sz w:val="32"/>
          <w:lang w:val="en-US" w:eastAsia="zh-CN"/>
        </w:rPr>
        <w:t>对外经济贸易大学党委常委、副校长刘亚和国际商学院原院长汤谷良违规兼职取酬等问题。经查，自2009年1月至2014年12月，对外经济贸易大学副校长刘亚在6家公司兼任独立董事，取酬126.6万元。刘亚在经济实体中的兼职情况，未向组织报告，兼职取酬未在领导干部个人有关事项报告中申报，严重违反了党的廉洁纪律和组织纪律。经查，对外经济贸易大学国际商学院原院长汤谷良在担任院长期间，先后在4家上市公司兼任独立董事，兼职取酬合计人民币152.9万元、港币120万元。汤谷良虽向学校报告了兼职，但隐瞒了取酬问题，还多次持因私护照出国执行公务，擅自延长出访时间和更改行程路线，在科研经费中报销其妻子、女儿往返美国机票费用，严重违反了党的廉洁纪律、组织纪律和外事工作纪律。针对党员领导干部不得在企业中兼职取酬、不得用因私护照出国执行公务、不得套取挪用贪污科研经费，中央三令五申，教育部开展过多次治理。对外经济贸易大学党委书记王玲、校长施建军作为党政主要负责人，对本单位发生的领导干部兼职取酬等问题未能有效制止并查处，导致学校发生的违规行为长期得不到纠正，造成不良影响负有领导责任。经教育部党组、北京市纪委研究决定，给予刘亚党内严重警告处分，免去其对外经济贸易大学党委常委、委员、副校长职务，追缴其违规兼职所得；分别给予王玲和施建军党内警告处分。经对外经济贸易大学党委研究决定，给予汤谷良党内严重警告处分、降低岗位等级处分，追缴其违规兼职所得。</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禹卫硬笔常规体">
    <w:panose1 w:val="02000603000000000000"/>
    <w:charset w:val="86"/>
    <w:family w:val="auto"/>
    <w:pitch w:val="default"/>
    <w:sig w:usb0="80000083" w:usb1="08010000" w:usb2="00000010" w:usb3="00000000" w:csb0="00040000" w:csb1="00000000"/>
  </w:font>
  <w:font w:name="文鼎中钢笔行楷">
    <w:panose1 w:val="020B060201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5D26B8"/>
    <w:rsid w:val="158717DE"/>
    <w:rsid w:val="18E678A4"/>
    <w:rsid w:val="19C00F4E"/>
    <w:rsid w:val="52873D72"/>
    <w:rsid w:val="5B7D5199"/>
    <w:rsid w:val="5E601290"/>
    <w:rsid w:val="640E63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qFormat/>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2015-10-12T00:53:00Z</dcterms:created>
  <dc:creator>Administrator</dc:creator>
  <cp:lastModifiedBy>冯晓敏</cp:lastModifiedBy>
  <cp:lastPrinted>2015-12-04T08:36:00Z</cp:lastPrinted>
  <dcterms:modified xsi:type="dcterms:W3CDTF">2015-12-07T01:46:51Z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