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49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tbl>
            <w:tblPr>
              <w:tblW w:w="849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blCellSpacing w:w="0" w:type="dxa"/>
                <w:jc w:val="center"/>
              </w:trPr>
              <w:tc>
                <w:tcPr>
                  <w:tcW w:w="0" w:type="auto"/>
                  <w:shd w:val="clear"/>
                  <w:vAlign w:val="center"/>
                </w:tcPr>
                <w:p>
                  <w:pPr>
                    <w:keepNext w:val="0"/>
                    <w:keepLines w:val="0"/>
                    <w:widowControl/>
                    <w:suppressLineNumbers w:val="0"/>
                    <w:spacing w:line="300" w:lineRule="atLeast"/>
                    <w:jc w:val="center"/>
                    <w:rPr>
                      <w:b/>
                      <w:bCs/>
                      <w:i w:val="0"/>
                      <w:iCs w:val="0"/>
                      <w:color w:val="071986"/>
                      <w:sz w:val="25"/>
                      <w:szCs w:val="25"/>
                      <w:u w:val="none"/>
                    </w:rPr>
                  </w:pPr>
                  <w:r>
                    <w:rPr>
                      <w:rFonts w:ascii="宋体" w:hAnsi="宋体" w:eastAsia="宋体" w:cs="宋体"/>
                      <w:b/>
                      <w:bCs/>
                      <w:i w:val="0"/>
                      <w:iCs w:val="0"/>
                      <w:color w:val="071986"/>
                      <w:kern w:val="0"/>
                      <w:sz w:val="25"/>
                      <w:szCs w:val="25"/>
                      <w:u w:val="none"/>
                      <w:lang w:val="en-US" w:eastAsia="zh-CN" w:bidi="ar"/>
                    </w:rPr>
                    <w:t>第四章　团的地方组织、解放军和武警部队中团的组织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 w:hRule="atLeast"/>
                <w:tblCellSpacing w:w="0" w:type="dxa"/>
                <w:jc w:val="center"/>
              </w:trPr>
              <w:tc>
                <w:tcPr>
                  <w:tcW w:w="0" w:type="auto"/>
                  <w:shd w:val="clear"/>
                  <w:vAlign w:val="center"/>
                </w:tcPr>
                <w:p>
                  <w:pPr>
                    <w:keepNext w:val="0"/>
                    <w:keepLines w:val="0"/>
                    <w:widowControl/>
                    <w:suppressLineNumbers w:val="0"/>
                    <w:jc w:val="left"/>
                  </w:pPr>
                  <w:r>
                    <w:rPr>
                      <w:rFonts w:ascii="宋体" w:hAnsi="宋体" w:eastAsia="宋体" w:cs="宋体"/>
                      <w:kern w:val="0"/>
                      <w:sz w:val="15"/>
                      <w:szCs w:val="15"/>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jc w:val="center"/>
              </w:trPr>
              <w:tc>
                <w:tcPr>
                  <w:tcW w:w="0" w:type="auto"/>
                  <w:shd w:val="clear"/>
                  <w:vAlign w:val="center"/>
                </w:tcPr>
                <w:p>
                  <w:pPr>
                    <w:rPr>
                      <w:rFonts w:hint="eastAsia" w:ascii="宋体" w:hAnsi="宋体" w:eastAsia="宋体" w:cs="宋体"/>
                      <w:color w:val="000000"/>
                      <w:sz w:val="19"/>
                      <w:szCs w:val="19"/>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w:t>
                  </w:r>
                </w:p>
              </w:tc>
            </w:tr>
          </w:tbl>
          <w:p>
            <w:pPr>
              <w:rPr>
                <w:rFonts w:ascii="微软雅黑" w:hAnsi="微软雅黑" w:eastAsia="微软雅黑" w:cs="微软雅黑"/>
                <w:caps w:val="0"/>
                <w:spacing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6" w:hRule="atLeast"/>
          <w:tblCellSpacing w:w="0" w:type="dxa"/>
          <w:jc w:val="center"/>
        </w:trPr>
        <w:tc>
          <w:tcPr>
            <w:tcW w:w="0" w:type="auto"/>
            <w:shd w:val="clear"/>
            <w:vAlign w:val="bottom"/>
          </w:tcPr>
          <w:tbl>
            <w:tblPr>
              <w:tblW w:w="84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center"/>
                  </w:pPr>
                  <w:r>
                    <w:rPr>
                      <w:rFonts w:hint="eastAsia" w:ascii="宋体" w:hAnsi="宋体" w:eastAsia="宋体" w:cs="宋体"/>
                      <w:color w:val="000000"/>
                      <w:kern w:val="0"/>
                      <w:sz w:val="14"/>
                      <w:szCs w:val="14"/>
                      <w:u w:val="none"/>
                      <w:lang w:val="en-US" w:eastAsia="zh-CN" w:bidi="ar"/>
                    </w:rPr>
                    <w:t>中国共青团网　　www.gqt.org.cn　　 2018年07月02日</w:t>
                  </w:r>
                </w:p>
              </w:tc>
            </w:tr>
          </w:tbl>
          <w:p>
            <w:pPr>
              <w:jc w:val="center"/>
              <w:rPr>
                <w:rFonts w:hint="eastAsia" w:ascii="微软雅黑" w:hAnsi="微软雅黑" w:eastAsia="微软雅黑" w:cs="微软雅黑"/>
                <w:caps w:val="0"/>
                <w:spacing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第十八条　团的省、自治区、直辖市的代表大会，设区的市和自治州的代表大会，县（旗）、自治县、不设区的市和市辖区的代表大会，每五年举行一次，一般在同级党的代表大会后一年内举行。</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团的地方各级代表大会由同级团的委员会召集。在特殊情况下，经同级党的委员会和团的上级委员会批准，可以提前或延期举行。</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第十九条　团的地方各级代表大会的职权是：</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（一）审查和批准同级委员会的工作报告；</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（二）讨论和决定本地区团的工作任务和有关重要事项；</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（三）选举同级委员会；</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（四）选举出席上一级团的代表大会的代表。</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团的地方各级委员会在代表大会闭会期间，执行上级团组织的指示和同级团的代表大会的决议，领导本地方团的工作，定期向上级团的委员会报告工作。</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第二十条　团的地方各级委员会全体会议选举各该级委员会的常务委员会和书记、副书记。团的地方各级委员会全体会议由常务委员会召集，每年至少举行一次。在委员会全体会议闭会期间，由常务委员会行使委员会的职权。</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团的地方各级委员会的组成，必须经同级党的委员会和上级团的委员会批准。</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第二十一条　中国人民解放军和中国人民武装警察部队中团的工作，是解放军和武警部队政治工作的重要组成部分，由中央军事委员会领导。中国人民解放军和中国人民武装警察部队中团的组织，在本单位党组织的领导下，根据团的章程、《中国人民解放军政治工作条例》和有关规定进行工作。</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8211A"/>
    <w:rsid w:val="75382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2022-04-27T09:38:00Z</dcterms:created>
  <dc:creator>戏语</dc:creator>
  <cp:lastModifiedBy>戏语</cp:lastModifiedBy>
  <dcterms:modified xsi:type="dcterms:W3CDTF">2022-04-27T09:38:43Z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EABD3AAE29CB44119497C4791EE0098F</vt:lpwstr>
  </property>
</Properties>
</file>