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7193"/>
      <w:bookmarkStart w:id="4" w:name="_Toc15378441"/>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06268"/>
      <w:bookmarkStart w:id="8" w:name="_Toc15396598"/>
      <w:bookmarkStart w:id="9" w:name="_Toc15396476"/>
      <w:bookmarkStart w:id="10" w:name="_Toc15378442"/>
      <w:bookmarkStart w:id="11" w:name="_Toc15377426"/>
      <w:r>
        <w:rPr>
          <w:rFonts w:hint="eastAsia" w:ascii="方正小标宋简体" w:hAnsi="方正小标宋简体" w:eastAsia="方正小标宋简体" w:cs="方正小标宋简体"/>
          <w:sz w:val="72"/>
          <w:szCs w:val="72"/>
        </w:rPr>
        <w:t>川北医学院决算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公开时间：2022年9月9日</w:t>
      </w:r>
    </w:p>
    <w:p/>
    <w:p>
      <w:pPr>
        <w:pStyle w:val="11"/>
        <w:adjustRightInd w:val="0"/>
        <w:snapToGrid w:val="0"/>
        <w:spacing w:before="0" w:line="440" w:lineRule="exact"/>
        <w:jc w:val="left"/>
        <w:rPr>
          <w:rFonts w:cstheme="minorBidi"/>
          <w:sz w:val="24"/>
          <w:szCs w:val="24"/>
        </w:rPr>
      </w:pPr>
      <w:r>
        <w:rPr>
          <w:rFonts w:hint="eastAsia"/>
          <w:sz w:val="24"/>
        </w:rPr>
        <w:t>第一部分单位概况</w:t>
      </w:r>
    </w:p>
    <w:p>
      <w:pPr>
        <w:pStyle w:val="12"/>
        <w:adjustRightInd w:val="0"/>
        <w:snapToGrid w:val="0"/>
        <w:spacing w:line="440" w:lineRule="exact"/>
        <w:jc w:val="left"/>
        <w:rPr>
          <w:sz w:val="24"/>
        </w:rPr>
      </w:pPr>
      <w:r>
        <w:rPr>
          <w:rFonts w:hint="eastAsia"/>
          <w:sz w:val="24"/>
        </w:rPr>
        <w:t>一、职能简介</w:t>
      </w:r>
    </w:p>
    <w:p>
      <w:pPr>
        <w:pStyle w:val="12"/>
        <w:adjustRightInd w:val="0"/>
        <w:snapToGrid w:val="0"/>
        <w:spacing w:line="440" w:lineRule="exact"/>
        <w:jc w:val="left"/>
        <w:rPr>
          <w:sz w:val="24"/>
        </w:rPr>
      </w:pPr>
      <w:r>
        <w:rPr>
          <w:rFonts w:hint="eastAsia"/>
          <w:sz w:val="24"/>
        </w:rPr>
        <w:t>二、2021年重点工作完成情况</w:t>
      </w:r>
    </w:p>
    <w:p>
      <w:pPr>
        <w:pStyle w:val="12"/>
        <w:adjustRightInd w:val="0"/>
        <w:snapToGrid w:val="0"/>
        <w:spacing w:line="440" w:lineRule="exact"/>
        <w:jc w:val="left"/>
        <w:rPr>
          <w:sz w:val="24"/>
        </w:rPr>
      </w:pPr>
      <w:r>
        <w:rPr>
          <w:rFonts w:hint="eastAsia"/>
          <w:sz w:val="24"/>
        </w:rPr>
        <w:t>三、机构设置情况</w:t>
      </w:r>
    </w:p>
    <w:p>
      <w:pPr>
        <w:pStyle w:val="11"/>
        <w:adjustRightInd w:val="0"/>
        <w:snapToGrid w:val="0"/>
        <w:spacing w:before="0" w:line="440" w:lineRule="exact"/>
        <w:jc w:val="left"/>
        <w:rPr>
          <w:sz w:val="24"/>
          <w:szCs w:val="24"/>
        </w:rPr>
      </w:pPr>
      <w:r>
        <w:rPr>
          <w:rFonts w:hint="eastAsia"/>
          <w:sz w:val="24"/>
        </w:rPr>
        <w:t>第二部分 2021年度单位决算情况说明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第三部分名词解释</w:t>
      </w:r>
    </w:p>
    <w:p>
      <w:pPr>
        <w:pStyle w:val="11"/>
        <w:adjustRightInd w:val="0"/>
        <w:snapToGrid w:val="0"/>
        <w:spacing w:before="0" w:line="440" w:lineRule="exact"/>
        <w:jc w:val="left"/>
        <w:rPr>
          <w:rFonts w:cstheme="minorBidi"/>
          <w:sz w:val="24"/>
          <w:szCs w:val="24"/>
        </w:rPr>
      </w:pPr>
      <w:r>
        <w:rPr>
          <w:rFonts w:hint="eastAsia"/>
          <w:sz w:val="24"/>
        </w:rPr>
        <w:t>第四部分附件</w:t>
      </w:r>
    </w:p>
    <w:p>
      <w:pPr>
        <w:pStyle w:val="11"/>
        <w:adjustRightInd w:val="0"/>
        <w:snapToGrid w:val="0"/>
        <w:spacing w:before="0" w:line="440" w:lineRule="exact"/>
        <w:jc w:val="left"/>
        <w:rPr>
          <w:rFonts w:cstheme="minorBidi"/>
          <w:sz w:val="24"/>
          <w:szCs w:val="24"/>
        </w:rPr>
      </w:pPr>
      <w:r>
        <w:rPr>
          <w:rFonts w:hint="eastAsia"/>
          <w:sz w:val="24"/>
        </w:rPr>
        <w:t>第五部分附表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十、一般公共预算财政拨款“三公”经费支出决算表</w:t>
      </w:r>
    </w:p>
    <w:p>
      <w:pPr>
        <w:pStyle w:val="12"/>
        <w:adjustRightInd w:val="0"/>
        <w:snapToGrid w:val="0"/>
        <w:spacing w:line="440" w:lineRule="exact"/>
        <w:jc w:val="left"/>
        <w:rPr>
          <w:sz w:val="24"/>
        </w:rPr>
      </w:pPr>
      <w:r>
        <w:rPr>
          <w:rFonts w:hint="eastAsia"/>
          <w:sz w:val="24"/>
        </w:rPr>
        <w:t>十一、政府性基金预算财政拨款收入支出决算表</w:t>
      </w:r>
    </w:p>
    <w:p>
      <w:pPr>
        <w:pStyle w:val="12"/>
        <w:adjustRightInd w:val="0"/>
        <w:snapToGrid w:val="0"/>
        <w:spacing w:line="440" w:lineRule="exact"/>
        <w:jc w:val="left"/>
        <w:rPr>
          <w:sz w:val="24"/>
        </w:rPr>
      </w:pPr>
      <w:r>
        <w:rPr>
          <w:rFonts w:hint="eastAsia"/>
          <w:sz w:val="24"/>
        </w:rPr>
        <w:t>十二、政府性基金预算财政拨款“三公”经费支出决算表</w:t>
      </w:r>
    </w:p>
    <w:p>
      <w:pPr>
        <w:pStyle w:val="12"/>
        <w:adjustRightInd w:val="0"/>
        <w:snapToGrid w:val="0"/>
        <w:spacing w:line="440" w:lineRule="exact"/>
        <w:jc w:val="left"/>
        <w:rPr>
          <w:sz w:val="24"/>
        </w:rPr>
      </w:pPr>
      <w:r>
        <w:rPr>
          <w:rFonts w:hint="eastAsia"/>
          <w:sz w:val="24"/>
        </w:rPr>
        <w:t>十三、国有资本经营预算财政拨款收入支出决算表</w:t>
      </w:r>
    </w:p>
    <w:p>
      <w:pPr>
        <w:pStyle w:val="12"/>
        <w:adjustRightInd w:val="0"/>
        <w:snapToGrid w:val="0"/>
        <w:spacing w:line="440" w:lineRule="exact"/>
        <w:jc w:val="left"/>
        <w:rPr>
          <w:sz w:val="24"/>
        </w:rPr>
      </w:pPr>
      <w:r>
        <w:rPr>
          <w:rFonts w:hint="eastAsia"/>
          <w:sz w:val="24"/>
        </w:rPr>
        <w:t>十四、国有资本经营预算财政拨款支出决算表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职能简介</w:t>
      </w:r>
    </w:p>
    <w:p>
      <w:pPr>
        <w:snapToGrid w:val="0"/>
        <w:ind w:firstLine="320" w:firstLineChars="100"/>
        <w:rPr>
          <w:rFonts w:ascii="仿宋_GB2312" w:hAnsi="仿宋" w:eastAsia="仿宋_GB2312"/>
          <w:sz w:val="32"/>
          <w:szCs w:val="32"/>
        </w:rPr>
      </w:pPr>
      <w:r>
        <w:rPr>
          <w:rFonts w:hint="eastAsia" w:ascii="仿宋_GB2312" w:hAnsi="仿宋" w:eastAsia="仿宋_GB2312"/>
          <w:sz w:val="32"/>
          <w:szCs w:val="32"/>
        </w:rPr>
        <w:t>1．主要职能</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学校始终发扬“艰苦奋斗、自强不息”的办学精神，秉承“敬业、博爱、</w:t>
      </w:r>
      <w:r>
        <w:rPr>
          <w:rFonts w:hint="eastAsia" w:ascii="仿宋_GB2312" w:hAnsi="仿宋_GB2312" w:eastAsia="仿宋_GB2312" w:cs="仿宋_GB2312"/>
          <w:bCs/>
          <w:sz w:val="32"/>
          <w:szCs w:val="32"/>
        </w:rPr>
        <w:t>求是</w:t>
      </w:r>
      <w:r>
        <w:rPr>
          <w:rFonts w:hint="eastAsia" w:ascii="仿宋_GB2312" w:hAnsi="仿宋" w:eastAsia="仿宋_GB2312"/>
          <w:sz w:val="32"/>
          <w:szCs w:val="32"/>
        </w:rPr>
        <w:t>、创新”的校训，坚持“以人为本，以质量为生命”的办学思想，承担医学应用型人才培养、科学研究、推进文化传承、创新服务社会的四大职能。现已成为一所以医、文、管、法、工、教多学科协调发展的省属高等医学院校。</w:t>
      </w:r>
    </w:p>
    <w:p>
      <w:pPr>
        <w:numPr>
          <w:ilvl w:val="0"/>
          <w:numId w:val="2"/>
        </w:numPr>
        <w:snapToGrid w:val="0"/>
        <w:ind w:firstLine="320" w:firstLineChars="100"/>
        <w:rPr>
          <w:rFonts w:ascii="仿宋_GB2312" w:hAnsi="仿宋" w:eastAsia="仿宋_GB2312"/>
          <w:sz w:val="32"/>
          <w:szCs w:val="32"/>
        </w:rPr>
      </w:pPr>
      <w:r>
        <w:rPr>
          <w:rFonts w:hint="eastAsia" w:ascii="仿宋_GB2312" w:hAnsi="仿宋" w:eastAsia="仿宋_GB2312"/>
          <w:sz w:val="32"/>
          <w:szCs w:val="32"/>
        </w:rPr>
        <w:t>机构情况</w:t>
      </w:r>
    </w:p>
    <w:p>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川北医学院为四川省教育厅举办的公立高等医学院校，坐落在四川省历史文化名城、三国文化发祥地——南充市，现有顺庆和高坪两个校区，占地面积1000余亩。建有22个学院（系、部），开设25个本科专业。现有国家级一流本科专业建设点2个，省级一流本科专业建设点8个；国家级特色建设专业1个，省级特色专业4个，省级应用型示范专业4个；国家级一流本科课程3门，省级一流本科课程、应用型本科示范课程、课程思政示范课程等61门；省级实验教学示范中心、省级虚拟仿真实验教学示范中心、省级虚拟仿真实验教学项目9个；3所直属附属医院、3所直管附属医院和24所非直属附属医院，53所教学实习医院。较上年新增2个专业学位授权类别、2个国家级一流本科专业、20门省级一流课程。</w:t>
      </w:r>
    </w:p>
    <w:p>
      <w:pPr>
        <w:snapToGrid w:val="0"/>
        <w:ind w:firstLine="320" w:firstLineChars="100"/>
        <w:rPr>
          <w:rFonts w:ascii="仿宋_GB2312" w:hAnsi="仿宋" w:eastAsia="仿宋_GB2312"/>
          <w:sz w:val="32"/>
          <w:szCs w:val="32"/>
        </w:rPr>
      </w:pPr>
    </w:p>
    <w:p>
      <w:pPr>
        <w:snapToGrid w:val="0"/>
        <w:ind w:firstLine="320" w:firstLineChars="100"/>
        <w:rPr>
          <w:rFonts w:ascii="仿宋_GB2312" w:hAnsi="仿宋" w:eastAsia="仿宋_GB2312"/>
          <w:sz w:val="32"/>
          <w:szCs w:val="32"/>
        </w:rPr>
      </w:pPr>
      <w:r>
        <w:rPr>
          <w:rFonts w:hint="eastAsia" w:ascii="仿宋_GB2312" w:hAnsi="仿宋" w:eastAsia="仿宋_GB2312"/>
          <w:sz w:val="32"/>
          <w:szCs w:val="32"/>
        </w:rPr>
        <w:t>3．人员情况</w:t>
      </w:r>
    </w:p>
    <w:p>
      <w:r>
        <w:rPr>
          <w:rFonts w:hint="eastAsia" w:ascii="仿宋_GB2312" w:hAnsi="仿宋_GB2312" w:eastAsia="仿宋_GB2312" w:cs="仿宋_GB2312"/>
          <w:bCs/>
          <w:sz w:val="32"/>
          <w:szCs w:val="32"/>
        </w:rPr>
        <w:t>学校现有在编人员1023人，人事代理230人，离休干部人员4人其中今年离世1人；目前在校全日制学生20043人，其中本专科17892人，研究生1733人，留学生418人。较上年在编人员新增20人，人事代理新增57人。离休干部减少1人，在校全日制学生新增403人，其中</w:t>
      </w:r>
      <w:r>
        <w:rPr>
          <w:rFonts w:hint="eastAsia" w:ascii="仿宋_GB2312" w:hAnsi="仿宋" w:eastAsia="仿宋_GB2312"/>
          <w:sz w:val="32"/>
          <w:szCs w:val="32"/>
        </w:rPr>
        <w:t>其中本专科新增20人，研究生新增314人，留学生新增69人。</w:t>
      </w:r>
    </w:p>
    <w:p>
      <w:pPr>
        <w:pStyle w:val="4"/>
        <w:rPr>
          <w:rFonts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w:t>
      </w:r>
      <w:r>
        <w:rPr>
          <w:rFonts w:ascii="仿宋_GB2312" w:hAnsi="仿宋_GB2312" w:eastAsia="仿宋_GB2312" w:cs="仿宋_GB2312"/>
          <w:bCs/>
          <w:sz w:val="32"/>
          <w:szCs w:val="32"/>
        </w:rPr>
        <w:t>学校坚持以习近平新时代中国特色社会主义思想为指导，</w:t>
      </w:r>
      <w:r>
        <w:rPr>
          <w:rFonts w:hint="eastAsia" w:ascii="仿宋_GB2312" w:hAnsi="仿宋_GB2312" w:eastAsia="仿宋_GB2312" w:cs="仿宋_GB2312"/>
          <w:bCs/>
          <w:sz w:val="32"/>
          <w:szCs w:val="32"/>
        </w:rPr>
        <w:t>深入学习贯彻党的十九届五中、六中全会和省委十一届九次、十次全会精神，</w:t>
      </w:r>
      <w:r>
        <w:rPr>
          <w:rFonts w:ascii="仿宋_GB2312" w:hAnsi="仿宋_GB2312" w:eastAsia="仿宋_GB2312" w:cs="仿宋_GB2312"/>
          <w:bCs/>
          <w:sz w:val="32"/>
          <w:szCs w:val="32"/>
        </w:rPr>
        <w:t>立足新发展阶段，贯彻新发展理念，融入新发展格局，奋力</w:t>
      </w:r>
      <w:r>
        <w:rPr>
          <w:rFonts w:hint="eastAsia" w:ascii="仿宋_GB2312" w:hAnsi="仿宋_GB2312" w:eastAsia="仿宋_GB2312" w:cs="仿宋_GB2312"/>
          <w:bCs/>
          <w:sz w:val="32"/>
          <w:szCs w:val="32"/>
        </w:rPr>
        <w:t>加快</w:t>
      </w:r>
      <w:r>
        <w:rPr>
          <w:rFonts w:ascii="仿宋_GB2312" w:hAnsi="仿宋_GB2312" w:eastAsia="仿宋_GB2312" w:cs="仿宋_GB2312"/>
          <w:bCs/>
          <w:sz w:val="32"/>
          <w:szCs w:val="32"/>
        </w:rPr>
        <w:t>“特色明显、优势突出、人民满意的高水平医科大学”</w:t>
      </w:r>
      <w:r>
        <w:rPr>
          <w:rFonts w:hint="eastAsia" w:ascii="仿宋_GB2312" w:hAnsi="仿宋_GB2312" w:eastAsia="仿宋_GB2312" w:cs="仿宋_GB2312"/>
          <w:bCs/>
          <w:sz w:val="32"/>
          <w:szCs w:val="32"/>
        </w:rPr>
        <w:t>建设步伐</w:t>
      </w:r>
      <w:r>
        <w:rPr>
          <w:rFonts w:ascii="仿宋_GB2312" w:hAnsi="仿宋_GB2312" w:eastAsia="仿宋_GB2312" w:cs="仿宋_GB2312"/>
          <w:bCs/>
          <w:sz w:val="32"/>
          <w:szCs w:val="32"/>
        </w:rPr>
        <w:t xml:space="preserve">。 </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一年来，党委常委会突出重点、集中精力，主要抓了四件大事：</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一是紧扣深入学习贯彻习近平新时代中国特色社会主义思想，扎实开展党史学习教育和庆祝建党100周年系列活动。我们全面贯彻党史学习教育总体要求，</w:t>
      </w:r>
      <w:r>
        <w:rPr>
          <w:rFonts w:ascii="仿宋_GB2312" w:hAnsi="仿宋_GB2312" w:eastAsia="仿宋_GB2312" w:cs="仿宋_GB2312"/>
          <w:bCs/>
          <w:sz w:val="32"/>
          <w:szCs w:val="32"/>
        </w:rPr>
        <w:t>不断从百年党史中汲取智慧和力量</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专题网站</w:t>
      </w:r>
      <w:r>
        <w:rPr>
          <w:rFonts w:hint="eastAsia" w:ascii="仿宋_GB2312" w:hAnsi="仿宋_GB2312" w:eastAsia="仿宋_GB2312" w:cs="仿宋_GB2312"/>
          <w:bCs/>
          <w:sz w:val="32"/>
          <w:szCs w:val="32"/>
        </w:rPr>
        <w:t>发布信息400余条</w:t>
      </w:r>
      <w:r>
        <w:rPr>
          <w:rFonts w:ascii="仿宋_GB2312" w:hAnsi="仿宋_GB2312" w:eastAsia="仿宋_GB2312" w:cs="仿宋_GB2312"/>
          <w:bCs/>
          <w:sz w:val="32"/>
          <w:szCs w:val="32"/>
        </w:rPr>
        <w:t>，编发简报</w:t>
      </w:r>
      <w:r>
        <w:rPr>
          <w:rFonts w:hint="eastAsia" w:ascii="仿宋_GB2312" w:hAnsi="仿宋_GB2312" w:eastAsia="仿宋_GB2312" w:cs="仿宋_GB2312"/>
          <w:bCs/>
          <w:sz w:val="32"/>
          <w:szCs w:val="32"/>
        </w:rPr>
        <w:t>37</w:t>
      </w:r>
      <w:r>
        <w:rPr>
          <w:rFonts w:ascii="仿宋_GB2312" w:hAnsi="仿宋_GB2312" w:eastAsia="仿宋_GB2312" w:cs="仿宋_GB2312"/>
          <w:bCs/>
          <w:sz w:val="32"/>
          <w:szCs w:val="32"/>
        </w:rPr>
        <w:t>期，开展学习活动1000余</w:t>
      </w:r>
      <w:r>
        <w:rPr>
          <w:rFonts w:hint="eastAsia" w:ascii="仿宋_GB2312" w:hAnsi="仿宋_GB2312" w:eastAsia="仿宋_GB2312" w:cs="仿宋_GB2312"/>
          <w:bCs/>
          <w:sz w:val="32"/>
          <w:szCs w:val="32"/>
        </w:rPr>
        <w:t>场</w:t>
      </w:r>
      <w:r>
        <w:rPr>
          <w:rFonts w:ascii="仿宋_GB2312" w:hAnsi="仿宋_GB2312" w:eastAsia="仿宋_GB2312" w:cs="仿宋_GB2312"/>
          <w:bCs/>
          <w:sz w:val="32"/>
          <w:szCs w:val="32"/>
        </w:rPr>
        <w:t>次</w:t>
      </w:r>
      <w:r>
        <w:rPr>
          <w:rFonts w:hint="eastAsia" w:ascii="仿宋_GB2312" w:hAnsi="仿宋_GB2312" w:eastAsia="仿宋_GB2312" w:cs="仿宋_GB2312"/>
          <w:bCs/>
          <w:sz w:val="32"/>
          <w:szCs w:val="32"/>
        </w:rPr>
        <w:t>，完成“我为群众办实事”38项，党史学习教育各项工作一体推进</w:t>
      </w:r>
      <w:r>
        <w:rPr>
          <w:rFonts w:ascii="仿宋_GB2312" w:hAnsi="仿宋_GB2312" w:eastAsia="仿宋_GB2312" w:cs="仿宋_GB2312"/>
          <w:bCs/>
          <w:sz w:val="32"/>
          <w:szCs w:val="32"/>
        </w:rPr>
        <w:t>，让</w:t>
      </w:r>
      <w:r>
        <w:rPr>
          <w:rFonts w:hint="eastAsia" w:ascii="仿宋_GB2312" w:hAnsi="仿宋_GB2312" w:eastAsia="仿宋_GB2312" w:cs="仿宋_GB2312"/>
          <w:bCs/>
          <w:sz w:val="32"/>
          <w:szCs w:val="32"/>
        </w:rPr>
        <w:t>拥护</w:t>
      </w:r>
      <w:r>
        <w:rPr>
          <w:rFonts w:ascii="仿宋_GB2312" w:hAnsi="仿宋_GB2312" w:eastAsia="仿宋_GB2312" w:cs="仿宋_GB2312"/>
          <w:bCs/>
          <w:sz w:val="32"/>
          <w:szCs w:val="32"/>
        </w:rPr>
        <w:t>“两个确立”、做到“两个维护”成为广大</w:t>
      </w:r>
      <w:r>
        <w:rPr>
          <w:rFonts w:hint="eastAsia" w:ascii="仿宋_GB2312" w:hAnsi="仿宋_GB2312" w:eastAsia="仿宋_GB2312" w:cs="仿宋_GB2312"/>
          <w:bCs/>
          <w:sz w:val="32"/>
          <w:szCs w:val="32"/>
        </w:rPr>
        <w:t>师生最</w:t>
      </w:r>
      <w:r>
        <w:rPr>
          <w:rFonts w:ascii="仿宋_GB2312" w:hAnsi="仿宋_GB2312" w:eastAsia="仿宋_GB2312" w:cs="仿宋_GB2312"/>
          <w:bCs/>
          <w:sz w:val="32"/>
          <w:szCs w:val="32"/>
        </w:rPr>
        <w:t>鲜明</w:t>
      </w:r>
      <w:r>
        <w:rPr>
          <w:rFonts w:hint="eastAsia" w:ascii="仿宋_GB2312" w:hAnsi="仿宋_GB2312" w:eastAsia="仿宋_GB2312" w:cs="仿宋_GB2312"/>
          <w:bCs/>
          <w:sz w:val="32"/>
          <w:szCs w:val="32"/>
        </w:rPr>
        <w:t>的</w:t>
      </w:r>
      <w:r>
        <w:rPr>
          <w:rFonts w:ascii="仿宋_GB2312" w:hAnsi="仿宋_GB2312" w:eastAsia="仿宋_GB2312" w:cs="仿宋_GB2312"/>
          <w:bCs/>
          <w:sz w:val="32"/>
          <w:szCs w:val="32"/>
        </w:rPr>
        <w:t>政治品格</w:t>
      </w:r>
      <w:r>
        <w:rPr>
          <w:rFonts w:hint="eastAsia" w:ascii="仿宋_GB2312" w:hAnsi="仿宋_GB2312" w:eastAsia="仿宋_GB2312" w:cs="仿宋_GB2312"/>
          <w:bCs/>
          <w:sz w:val="32"/>
          <w:szCs w:val="32"/>
        </w:rPr>
        <w:t>。我们围绕迎接和庆祝建党100周年，统筹开展庆祝大会、评选表彰、示范创建等系列活动，3名同志被表彰为省、市“优秀共产党员”“优秀党务工作者”，1个党总支被表彰为“南充市先进基层党组织”；创建共产党员示范岗200个、共产党员示范团队50个，切实坚定全校师生感党恩、听党话、跟党走的政治信念。</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围绕建设高水平医科大学，高位谋划学校“十四五”事业发展规划。我们坚持战略定位与时代发展相适应，目标导向与问题导向相统一，认真总结学校“十三五”期间的发展成就，根据全国、全省高等医学教育事业发展新形势，深刻分析存在问题和面临机遇与挑战，结合学校发展实际，在深入调研、科学论证和广泛征求意见的基础上，科学编制学校“十四五”事业发展规划以及五个专项规划，聚焦更名医科大学、创建博士学位授予单位、拓展办学空间“三大核心任务”，明确学校发展目标和发展重点，坚持一张蓝图绘到底，全力以赴加快高水平医科大学建设步伐。</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是树牢“整改不落实就是对党不忠诚”意识，以巡促改、以巡促建、以巡促治取得阶段性成效。我们充分认识省委巡视的政治性、严肃性，坚决拥护，全力支持，对问题不回避、对矛盾不遮掩、对缺点不护短，旗帜鲜明地接受巡视监督，将迎接、配合巡视作为重要政治任务抓紧抓实抓好。巡视反馈以来，学校党委先后召开13次常委会、2次巡视整改工作领导小组会议、12次工作会研究部署、督促推进整改工作。截至2021年底，应该完成的整改措施81项，已完成76项，完成率93.8%，切实把巡视整改转化为推动学校改革发展的强大动力，全面促进学校各项事业持续健康发展。</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是精心组织建校70周年系列庆祝活动，充分激发建设高水平医科大学的信心与决心。我们充分认识70周年校庆是总结办学经验、传承学校精神、展示办学成绩、凝聚人心士气的重要契机，是把握历史方位、激励勇毅前行的重要抓手。本着“简朴、隆重、学术、共建”原则，认真研究制定校庆总体方案、组建工作机构，动员全体师生员工以饱满的工作热情，高标准、高水平、高质量完成校史馆建设、校史编撰、办学成果展、“杏林弦歌”文艺晚会以及</w:t>
      </w:r>
      <w:r>
        <w:rPr>
          <w:rFonts w:ascii="仿宋_GB2312" w:hAnsi="仿宋_GB2312" w:eastAsia="仿宋_GB2312" w:cs="仿宋_GB2312"/>
          <w:bCs/>
          <w:sz w:val="32"/>
          <w:szCs w:val="32"/>
        </w:rPr>
        <w:t>院士论坛</w:t>
      </w:r>
      <w:r>
        <w:rPr>
          <w:rFonts w:hint="eastAsia" w:ascii="仿宋_GB2312" w:hAnsi="仿宋_GB2312" w:eastAsia="仿宋_GB2312" w:cs="仿宋_GB2312"/>
          <w:bCs/>
          <w:sz w:val="32"/>
          <w:szCs w:val="32"/>
        </w:rPr>
        <w:t>等系列工作，先后成立西藏校友会、德阳校友会，接收捐赠资金445万元，获捐物资价值400余万元，40余个国内外兄弟单位发来贺信，切实汇聚起建设高水平医科大学的强大动力。</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一年来，党委常委会从全局的高度，统筹学校改革发展稳定各项任务，主要还做了以下四个方面工作：</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旗帜鲜明讲政治，纵深推进全面从严治党。我们切实履行管党治党、办学治校主体责任，以政治建设提高党建质量、引领事业发展。政治信仰更加坚定，坚持常委会第一议题学习制度，修订加强和改进中心组学习的实施意见，全年常委会率先学35次、党委中心组深入学12次，持续推进习近平新时代中国特色社会主义思想入脑入心。政治领导有效加强，出台加强党的政治建设实施方案，把党的全面领导贯穿事业发展全过程；制定“一个实施细则、两个沟通制度、三张议事清单”，进一步完善党委统一领导、党政分工合作、协调运行的工作机制。政治功能充分发挥，健全组织体系，完成二级党组织优化调整和换届选举，选优配强党组织书记，指导完善院系党组织会议、党政联席会议制度，深入开展党建“双创”，8个基层党组织获教育部、省高校党建示范创建，推荐2个教工党支部工作法参加全省高校优秀“支部工作法”评选。政治能力大力提升，修订处级领导干部选拔任用办法，出台激励干部担当作为的实施意见，提拔调整干部35人，开展干部教育培训366人次。政治生态更加风清气正，制定全面从严治党主体责任实施意见、主体责任清单，强化主体责任落实；加强廉政风险防控，围绕6类经济活动重点领域加强内控建设；强化巡察监督、纪律监督、审计监督、信访监督，健全校内协同联动监督机制。政治行动更加坚决，把贯彻落实重大决策部署作为践行“两个维护”的具体行动，积极主动融入成渝双城经济圈建设，研制推动卫生健康一体化发展方案，推动学校、重庆医科大学、企业“三方合作”，筹备启动GCP项目；大力实施高端医疗人才基层行活动，发挥人才优势，推动川东北经济区卫生健康协同发展；选派2名干部驻村帮扶，投入经费90万元，大力落实乡村振兴工作部署。</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立德树人固根本，全面提升人才培养质量。我们牢记“为党育人、为国育才”的初心使命，深入贯彻全国教育大会、研究生教育大会精神，以获批为四川省教育评价改革试点、“三全育人”综合改革试点为契机，加快构建高水平人才培养体系。育人体系更加完善，出台《加快构建学校思想政治工作体系工作方案》，贯通学科体系、教学体系、教材体系、管理体系，把立德树人融入思想道德、文化知识、社会实践教育各环节，学校获批省思政工作精品项目2个、思政工作培育项目1个，新增省级课程思政示范专业1个、示范团队1个、示范课程5门。育人力量不断充实，引培硕博人才91人，校内选调17名具有专业背景的教师充实思政课教师队伍，新增10名专职辅导员，学校教师先后荣获全省高校辅导员素质能力大赛二等奖、全省教师风采大赛二等奖等佳绩。育人成效更加显著，获批教育部产学合作育人项目8项，省级“新文科”综合改革项目1项；省级教学成果奖3项，省高教学会教学成果一等奖1项；学生获得四川省“挑战杯”大赛一等奖、大学生计算机设计大赛一等奖等佳绩。</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三是凝心聚力强内涵，持续加快学校高质量发展。我们以更名大学和创建博士学位授予单位为牵引，以“对标竞进、争创一流”活动为载体，推动提质增效迈出新步伐。学科专业取得突破，新增2个国家级一流本科专业、20门省级一流课程，荣获全国首届教材建设奖2项；新增2个硕士专业学位授权点，获批省中医药重点学科建设项目1个，3个学科进入中国医院科技量值排行榜百强，临床医学ESI国内排名大幅提升。科技创新稳步提升，持续提升科研工作质效，立项各级各类科研项目460余项，SCI等核心期刊收录论文2200余篇，获省科技进步三等奖2项、省社科成果三等奖1项、市社科成果奖81项。综合改革持续深化，出台《川北医学院综合改革方案（2021-2025）》，机构改革系统推进，临床教育管理体制改革取得有效进展。办学支撑不断夯实，附属医院列入国家层面省级区域医疗中心建设项目，妇女儿童中心开工建设；第二附属医院加快发展步伐，服务能力持续提高；新增直管附属医院4所，实践教学基地10家。开放办学不断拓展，与南充市共建高水平医科大学战略合作稳步推进，与广元市、巴中市战略合作全面启动，国际交流合作不断拓展，先后与俄罗斯西伯利亚医科大学等达成合作意向，与汉考国际合作实现境外签约联合办学，招收“一带一路”沿线国家留学生70人。 </w:t>
      </w:r>
    </w:p>
    <w:p>
      <w:pPr>
        <w:spacing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是夯实根基优环境，切实维护学校安全稳定。我们切实落实“党政同责、一岗双责、失职追责”，以对党和人民高度负责的态度，全力维护学校大局稳定。聚焦意识形态抓阵地，专题研究意识形态工作4次，召开意识形态研判会5次，制定贯彻落实意识形态工作责任制实施细则、网络意识形态工作责任制实施细则，开展二级单位意识形态风险点排查和专项检查，编制舆情周报48期，</w:t>
      </w:r>
      <w:r>
        <w:rPr>
          <w:rFonts w:ascii="仿宋_GB2312" w:hAnsi="仿宋_GB2312" w:eastAsia="仿宋_GB2312" w:cs="仿宋_GB2312"/>
          <w:bCs/>
          <w:sz w:val="32"/>
          <w:szCs w:val="32"/>
        </w:rPr>
        <w:t>舆情月报6期，牢牢把握意识形态工作主导权</w:t>
      </w:r>
      <w:r>
        <w:rPr>
          <w:rFonts w:hint="eastAsia" w:ascii="仿宋_GB2312" w:hAnsi="仿宋_GB2312" w:eastAsia="仿宋_GB2312" w:cs="仿宋_GB2312"/>
          <w:bCs/>
          <w:sz w:val="32"/>
          <w:szCs w:val="32"/>
        </w:rPr>
        <w:t>。聚焦强化管理抓安全，常态化抓实校园疫情防控，及时完善“七案七制三流程”，</w:t>
      </w:r>
      <w:r>
        <w:rPr>
          <w:rFonts w:ascii="仿宋_GB2312" w:hAnsi="仿宋_GB2312" w:eastAsia="仿宋_GB2312" w:cs="仿宋_GB2312"/>
          <w:bCs/>
          <w:sz w:val="32"/>
          <w:szCs w:val="32"/>
        </w:rPr>
        <w:t>全校师生</w:t>
      </w:r>
      <w:r>
        <w:rPr>
          <w:rFonts w:hint="eastAsia" w:ascii="仿宋_GB2312" w:hAnsi="仿宋_GB2312" w:eastAsia="仿宋_GB2312" w:cs="仿宋_GB2312"/>
          <w:bCs/>
          <w:sz w:val="32"/>
          <w:szCs w:val="32"/>
        </w:rPr>
        <w:t>新冠疫苗</w:t>
      </w:r>
      <w:r>
        <w:rPr>
          <w:rFonts w:ascii="仿宋_GB2312" w:hAnsi="仿宋_GB2312" w:eastAsia="仿宋_GB2312" w:cs="仿宋_GB2312"/>
          <w:bCs/>
          <w:sz w:val="32"/>
          <w:szCs w:val="32"/>
        </w:rPr>
        <w:t>接种率100%</w:t>
      </w:r>
      <w:r>
        <w:rPr>
          <w:rFonts w:hint="eastAsia" w:ascii="仿宋_GB2312" w:hAnsi="仿宋_GB2312" w:eastAsia="仿宋_GB2312" w:cs="仿宋_GB2312"/>
          <w:bCs/>
          <w:sz w:val="32"/>
          <w:szCs w:val="32"/>
        </w:rPr>
        <w:t>；制定安全稳定工作目标管理考核办法、安全稳定工作责任清单，多渠道多途径开展师生安全教育，深入细致排查安全隐患并整改，及时化解风险和矛盾，切实维护校园安全稳定。聚焦民生工程抓和谐，</w:t>
      </w:r>
      <w:r>
        <w:rPr>
          <w:rFonts w:ascii="仿宋_GB2312" w:hAnsi="仿宋_GB2312" w:eastAsia="仿宋_GB2312" w:cs="仿宋_GB2312"/>
          <w:bCs/>
          <w:sz w:val="32"/>
          <w:szCs w:val="32"/>
        </w:rPr>
        <w:t>积极解决</w:t>
      </w:r>
      <w:r>
        <w:rPr>
          <w:rFonts w:hint="eastAsia" w:ascii="仿宋_GB2312" w:hAnsi="仿宋_GB2312" w:eastAsia="仿宋_GB2312" w:cs="仿宋_GB2312"/>
          <w:bCs/>
          <w:sz w:val="32"/>
          <w:szCs w:val="32"/>
        </w:rPr>
        <w:t>师生急难愁盼问题</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空调进宿舍、路南职工小区产权证办理、教职工福利待遇提升等顺利完成，</w:t>
      </w:r>
      <w:r>
        <w:rPr>
          <w:rFonts w:ascii="仿宋_GB2312" w:hAnsi="仿宋_GB2312" w:eastAsia="仿宋_GB2312" w:cs="仿宋_GB2312"/>
          <w:bCs/>
          <w:sz w:val="32"/>
          <w:szCs w:val="32"/>
        </w:rPr>
        <w:t>协助36名教职工子女顺利</w:t>
      </w:r>
      <w:r>
        <w:rPr>
          <w:rFonts w:hint="eastAsia" w:ascii="仿宋_GB2312" w:hAnsi="仿宋_GB2312" w:eastAsia="仿宋_GB2312" w:cs="仿宋_GB2312"/>
          <w:bCs/>
          <w:sz w:val="32"/>
          <w:szCs w:val="32"/>
        </w:rPr>
        <w:t>入读心仪学校；按规定发放专项绩效、退休人员一次性生活补贴、高层次人才生活补贴以及学生奖助学金，师生幸福感、获得感持续提升。</w:t>
      </w:r>
    </w:p>
    <w:p>
      <w:pPr>
        <w:spacing w:line="59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各位委员，202</w:t>
      </w: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年</w:t>
      </w:r>
      <w:r>
        <w:rPr>
          <w:rFonts w:hint="eastAsia" w:ascii="仿宋_GB2312" w:hAnsi="仿宋_GB2312" w:eastAsia="仿宋_GB2312" w:cs="仿宋_GB2312"/>
          <w:bCs/>
          <w:sz w:val="32"/>
          <w:szCs w:val="32"/>
        </w:rPr>
        <w:t>学校党委班子团结带领</w:t>
      </w:r>
      <w:r>
        <w:rPr>
          <w:rFonts w:ascii="仿宋_GB2312" w:hAnsi="仿宋_GB2312" w:eastAsia="仿宋_GB2312" w:cs="仿宋_GB2312"/>
          <w:bCs/>
          <w:sz w:val="32"/>
          <w:szCs w:val="32"/>
        </w:rPr>
        <w:t>全体党员干部和</w:t>
      </w:r>
      <w:r>
        <w:rPr>
          <w:rFonts w:hint="eastAsia" w:ascii="仿宋_GB2312" w:hAnsi="仿宋_GB2312" w:eastAsia="仿宋_GB2312" w:cs="仿宋_GB2312"/>
          <w:bCs/>
          <w:sz w:val="32"/>
          <w:szCs w:val="32"/>
        </w:rPr>
        <w:t>全校师生员工，攻坚克难、奋发进取，各项工作取得了一些成绩</w:t>
      </w:r>
      <w:r>
        <w:rPr>
          <w:rFonts w:ascii="仿宋_GB2312" w:hAnsi="仿宋_GB2312" w:eastAsia="仿宋_GB2312" w:cs="仿宋_GB2312"/>
          <w:bCs/>
          <w:sz w:val="32"/>
          <w:szCs w:val="32"/>
        </w:rPr>
        <w:t>。但是，我们也清醒地认识到存在一些不足之处，比如：运用习近平新时代中国特色社会主义思想破解学校改革发展难题的本领还不</w:t>
      </w:r>
      <w:r>
        <w:rPr>
          <w:rFonts w:hint="eastAsia" w:ascii="仿宋_GB2312" w:hAnsi="仿宋_GB2312" w:eastAsia="仿宋_GB2312" w:cs="仿宋_GB2312"/>
          <w:bCs/>
          <w:sz w:val="32"/>
          <w:szCs w:val="32"/>
        </w:rPr>
        <w:t>够强，</w:t>
      </w:r>
      <w:r>
        <w:rPr>
          <w:rFonts w:ascii="仿宋_GB2312" w:hAnsi="仿宋_GB2312" w:eastAsia="仿宋_GB2312" w:cs="仿宋_GB2312"/>
          <w:bCs/>
          <w:sz w:val="32"/>
          <w:szCs w:val="32"/>
        </w:rPr>
        <w:t>办学治校水平与</w:t>
      </w:r>
      <w:r>
        <w:rPr>
          <w:rFonts w:hint="eastAsia" w:ascii="仿宋_GB2312" w:hAnsi="仿宋_GB2312" w:eastAsia="仿宋_GB2312" w:cs="仿宋_GB2312"/>
          <w:bCs/>
          <w:sz w:val="32"/>
          <w:szCs w:val="32"/>
        </w:rPr>
        <w:t>建设高水平医科大学的</w:t>
      </w:r>
      <w:r>
        <w:rPr>
          <w:rFonts w:ascii="仿宋_GB2312" w:hAnsi="仿宋_GB2312" w:eastAsia="仿宋_GB2312" w:cs="仿宋_GB2312"/>
          <w:bCs/>
          <w:sz w:val="32"/>
          <w:szCs w:val="32"/>
        </w:rPr>
        <w:t>要求还有差距</w:t>
      </w:r>
      <w:r>
        <w:rPr>
          <w:rFonts w:hint="eastAsia" w:ascii="仿宋_GB2312" w:hAnsi="仿宋_GB2312" w:eastAsia="仿宋_GB2312" w:cs="仿宋_GB2312"/>
          <w:bCs/>
          <w:sz w:val="32"/>
          <w:szCs w:val="32"/>
        </w:rPr>
        <w:t>，持之以恒抓落实补短板强弱项还缺乏行之有效的措施等。我们将高度重视这些问题，认真加以解决。</w:t>
      </w:r>
    </w:p>
    <w:p>
      <w:pPr>
        <w:spacing w:line="590" w:lineRule="exact"/>
        <w:ind w:firstLine="640" w:firstLineChars="200"/>
        <w:rPr>
          <w:rFonts w:eastAsia="仿宋"/>
          <w:bCs/>
          <w:spacing w:val="10"/>
          <w:sz w:val="32"/>
        </w:rPr>
      </w:pPr>
      <w:r>
        <w:rPr>
          <w:rFonts w:hint="eastAsia" w:ascii="仿宋_GB2312" w:hAnsi="仿宋_GB2312" w:eastAsia="仿宋_GB2312" w:cs="仿宋_GB2312"/>
          <w:bCs/>
          <w:sz w:val="32"/>
          <w:szCs w:val="32"/>
        </w:rPr>
        <w:t>2022年，党委常委会坚持以习近平新时代中国特色社会主义思想为指导，坚决拥护“两个确立”，增强“四个意识”，坚定“四个自信”、做到“两个维护”，全面贯彻党的教育方针，深入落实党的十九届五中、六中全会和省委十一届九次、十次全会精神，紧扣立德树人这一根本任务，围绕管党治党和办学治校两大主体责任，聚焦更名大学、创建博士学位授予单位、拓展办学空间“三大核心任务”，以政治建设、综合改革、对标竞进、巡视整改四项工作为牵引，推动党的建设科学化水平、人才培养水平、科技创新水平、内部治理水平、社会服务水平实现新提升，不断巩固和深化党史学习教育成果，全力落实“十四五”事业发展规划任务，加快高水平医科大学建设步伐，以优异成绩迎接党的二十大和省第十二次党代会胜利召开。</w:t>
      </w:r>
    </w:p>
    <w:p>
      <w:pPr>
        <w:pStyle w:val="4"/>
        <w:rPr>
          <w:rFonts w:ascii="黑体" w:hAnsi="黑体" w:eastAsia="黑体"/>
          <w:b w:val="0"/>
        </w:rPr>
      </w:pPr>
      <w:r>
        <w:rPr>
          <w:rFonts w:hint="eastAsia" w:ascii="黑体" w:hAnsi="黑体" w:eastAsia="黑体"/>
          <w:b w:val="0"/>
        </w:rPr>
        <w:t>三、机构设置情况</w:t>
      </w:r>
    </w:p>
    <w:p>
      <w:pPr>
        <w:pStyle w:val="2"/>
        <w:spacing w:before="93"/>
        <w:ind w:firstLine="640"/>
        <w:rPr>
          <w:rFonts w:hAnsi="仿宋_GB2312" w:cs="仿宋_GB2312"/>
          <w:bCs/>
          <w:sz w:val="32"/>
          <w:szCs w:val="32"/>
        </w:rPr>
      </w:pPr>
      <w:r>
        <w:rPr>
          <w:rFonts w:hint="eastAsia" w:hAnsi="仿宋_GB2312" w:cs="仿宋_GB2312"/>
          <w:bCs/>
          <w:sz w:val="32"/>
          <w:szCs w:val="32"/>
        </w:rPr>
        <w:t>学校本级由90个内设机构组成，分别是：</w:t>
      </w:r>
    </w:p>
    <w:p>
      <w:pPr>
        <w:pStyle w:val="2"/>
        <w:spacing w:before="93"/>
        <w:ind w:firstLine="640"/>
        <w:rPr>
          <w:rFonts w:ascii="仿宋" w:hAnsi="仿宋" w:eastAsia="仿宋"/>
          <w:sz w:val="32"/>
          <w:szCs w:val="32"/>
        </w:rPr>
      </w:pPr>
      <w:r>
        <w:rPr>
          <w:rFonts w:hint="eastAsia" w:ascii="仿宋" w:hAnsi="仿宋" w:eastAsia="仿宋"/>
          <w:sz w:val="32"/>
          <w:szCs w:val="32"/>
        </w:rPr>
        <w:t>党群部门：党委办公室/行政办公室/信访办公室、组织部/党校、省纪委监委驻校纪检监察组办公室/纪委办公室、党委宣传部/统战部/精神文明办公室、工会、学生工作部、团委、保卫处（部）/武装部；</w:t>
      </w:r>
    </w:p>
    <w:p>
      <w:pPr>
        <w:pStyle w:val="2"/>
        <w:spacing w:before="93"/>
        <w:ind w:firstLine="640"/>
        <w:rPr>
          <w:rFonts w:hAnsi="仿宋_GB2312" w:cs="仿宋_GB2312"/>
          <w:bCs/>
          <w:sz w:val="32"/>
          <w:szCs w:val="32"/>
        </w:rPr>
      </w:pPr>
      <w:r>
        <w:rPr>
          <w:rFonts w:hint="eastAsia" w:ascii="仿宋" w:hAnsi="仿宋" w:eastAsia="仿宋"/>
          <w:sz w:val="32"/>
          <w:szCs w:val="32"/>
        </w:rPr>
        <w:t>行政部门：党委教师工作部/党委人才工作办公室/人事处/教师能力发展中心、教务处、教学质量监控与评估中心、研究生处、计划财务处、审计处、发展规划处、国有资产管理处、校地合作处/川北医学院校友总会/川北医学院教育发展基金会、采购与招投标管理中心、离退休工作处、外事工作办公室 /港澳台事务办公室、校区置换与建设工作推进办公室、校庆筹备工作办公室、后勤管理处、科技处；</w:t>
      </w:r>
    </w:p>
    <w:p>
      <w:pPr>
        <w:pStyle w:val="2"/>
        <w:spacing w:before="93"/>
        <w:ind w:firstLine="640"/>
        <w:rPr>
          <w:rFonts w:hAnsi="仿宋_GB2312" w:eastAsia="仿宋" w:cs="仿宋_GB2312"/>
          <w:bCs/>
          <w:sz w:val="32"/>
          <w:szCs w:val="32"/>
        </w:rPr>
      </w:pPr>
      <w:r>
        <w:rPr>
          <w:rFonts w:hint="eastAsia" w:ascii="仿宋" w:hAnsi="仿宋" w:eastAsia="仿宋"/>
          <w:sz w:val="32"/>
          <w:szCs w:val="32"/>
        </w:rPr>
        <w:t>教辅部门：图书档案馆、现代教育技术中心、学报编辑部、校医院；</w:t>
      </w:r>
    </w:p>
    <w:p>
      <w:pPr>
        <w:pStyle w:val="2"/>
        <w:spacing w:before="93"/>
        <w:ind w:firstLine="640"/>
        <w:rPr>
          <w:rFonts w:ascii="仿宋" w:hAnsi="仿宋" w:eastAsia="仿宋"/>
          <w:sz w:val="32"/>
          <w:szCs w:val="32"/>
        </w:rPr>
      </w:pPr>
      <w:r>
        <w:rPr>
          <w:rFonts w:hint="eastAsia" w:ascii="仿宋" w:hAnsi="仿宋" w:eastAsia="仿宋"/>
          <w:sz w:val="32"/>
          <w:szCs w:val="32"/>
        </w:rPr>
        <w:t>基层党组织：附属医院党委、第二附属医院党支部、机关第一党总支部、机关第二党总支部、机关第三党总支部、离退休党支部、研究生处党总支部、基础医学院党总支部、临床医学系党总支部、医学影像学院党总支部、护理学院党总支部、医学检验系党总支部、麻醉学系党总支部、中西医临床医学系党总支部、法医学系党总支部、预防医学系党总支部、外国语言文化系党总支部、管理学院党总支</w:t>
      </w:r>
      <w:r>
        <w:rPr>
          <w:rFonts w:hint="eastAsia" w:ascii="仿宋" w:hAnsi="仿宋" w:eastAsia="仿宋"/>
          <w:color w:val="000000" w:themeColor="text1"/>
          <w:sz w:val="32"/>
          <w:szCs w:val="32"/>
        </w:rPr>
        <w:t>部、体育部党总支部、药学院直属党支部、眼视光学系直属党支部、口腔医学系直属党支部、马克思主义学院直属党支部</w:t>
      </w:r>
      <w:r>
        <w:rPr>
          <w:rFonts w:hint="eastAsia" w:ascii="仿宋" w:hAnsi="仿宋" w:eastAsia="仿宋"/>
          <w:sz w:val="32"/>
          <w:szCs w:val="32"/>
        </w:rPr>
        <w:t>；</w:t>
      </w:r>
    </w:p>
    <w:p>
      <w:pPr>
        <w:pStyle w:val="2"/>
        <w:spacing w:before="93"/>
        <w:ind w:firstLine="640"/>
        <w:rPr>
          <w:rFonts w:ascii="仿宋" w:hAnsi="仿宋" w:eastAsia="仿宋"/>
          <w:sz w:val="32"/>
          <w:szCs w:val="32"/>
        </w:rPr>
      </w:pPr>
      <w:r>
        <w:rPr>
          <w:rFonts w:hint="eastAsia" w:ascii="仿宋" w:hAnsi="仿宋" w:eastAsia="仿宋"/>
          <w:sz w:val="32"/>
          <w:szCs w:val="32"/>
        </w:rPr>
        <w:t>教学院系：基础医学院、临床医学院、第二临床医学院、临床医学系、医学影像学院、医学检验系、护理学院/护士学校、麻醉学系、口腔医学系、中西医临床医学系、法医学系、眼视光学系、预防医学系、外国语言文化系、国际教育交流学院、管理学院、药学院、精神卫生学院、马克思主义学院、体育部、继续教育学院/高等职业技术学院、创新创业学院；</w:t>
      </w:r>
    </w:p>
    <w:p>
      <w:pPr>
        <w:pStyle w:val="2"/>
        <w:spacing w:before="93"/>
        <w:ind w:firstLine="640"/>
        <w:rPr>
          <w:rFonts w:ascii="仿宋" w:hAnsi="仿宋" w:eastAsia="仿宋"/>
          <w:sz w:val="32"/>
          <w:szCs w:val="32"/>
        </w:rPr>
      </w:pPr>
      <w:r>
        <w:rPr>
          <w:rFonts w:hint="eastAsia" w:ascii="仿宋" w:hAnsi="仿宋" w:eastAsia="仿宋"/>
          <w:sz w:val="32"/>
          <w:szCs w:val="32"/>
        </w:rPr>
        <w:t>科研院所：分子生物研究所、形态学研究所、医学影像研究所、风湿免疫研究所、肛肠疾病研究所、神经疾病研究所、肝胆胰肠疾病研究所、组织工程干细胞研究所、转化医学研究中心、药物研究所、四川省基层卫生事业发展研究中心、南充市生物医药产业技术研究院；</w:t>
      </w:r>
    </w:p>
    <w:p>
      <w:pPr>
        <w:pStyle w:val="2"/>
        <w:spacing w:before="93"/>
        <w:ind w:firstLine="640"/>
        <w:rPr>
          <w:rFonts w:ascii="仿宋" w:hAnsi="仿宋" w:eastAsia="仿宋"/>
          <w:sz w:val="32"/>
          <w:szCs w:val="32"/>
        </w:rPr>
      </w:pPr>
      <w:r>
        <w:rPr>
          <w:rFonts w:hint="eastAsia" w:ascii="仿宋" w:hAnsi="仿宋" w:eastAsia="仿宋"/>
          <w:sz w:val="32"/>
          <w:szCs w:val="32"/>
        </w:rPr>
        <w:t>直属单位：川北医学院附属医院、川北医学院第二附属医院、川北医学院附属南充市中心医院、川北医学院司法鉴定中心;</w:t>
      </w:r>
    </w:p>
    <w:p>
      <w:pPr>
        <w:pStyle w:val="2"/>
        <w:spacing w:before="93"/>
        <w:ind w:firstLine="640"/>
        <w:rPr>
          <w:rFonts w:ascii="仿宋" w:hAnsi="仿宋" w:eastAsia="仿宋"/>
          <w:sz w:val="32"/>
          <w:szCs w:val="32"/>
        </w:rPr>
      </w:pPr>
      <w:r>
        <w:rPr>
          <w:rFonts w:hint="eastAsia" w:ascii="仿宋" w:hAnsi="仿宋" w:eastAsia="仿宋"/>
          <w:sz w:val="32"/>
          <w:szCs w:val="32"/>
        </w:rPr>
        <w:t>公司：川北医学院健康科技有限责任公司。</w: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3"/>
        <w:ind w:right="440"/>
        <w:jc w:val="center"/>
        <w:rPr>
          <w:rStyle w:val="25"/>
          <w:rFonts w:ascii="黑体" w:hAnsi="黑体" w:eastAsia="黑体"/>
          <w:b w:val="0"/>
          <w:bCs/>
        </w:rPr>
      </w:pPr>
      <w:bookmarkStart w:id="16" w:name="_Toc15396602"/>
      <w:bookmarkStart w:id="17"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16"/>
      <w:bookmarkEnd w:id="17"/>
    </w:p>
    <w:p/>
    <w:p>
      <w:pPr>
        <w:pStyle w:val="24"/>
        <w:numPr>
          <w:ilvl w:val="0"/>
          <w:numId w:val="3"/>
        </w:numPr>
        <w:spacing w:line="600" w:lineRule="exact"/>
        <w:ind w:firstLineChars="0"/>
        <w:outlineLvl w:val="1"/>
        <w:rPr>
          <w:rStyle w:val="26"/>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2021年度收、支分别总计57986.61万元、62971.51万元。与2020年相比，收入增加3585.65万元，增长6.59</w:t>
      </w:r>
      <w:r>
        <w:rPr>
          <w:rFonts w:ascii="仿宋" w:hAnsi="仿宋" w:eastAsia="仿宋"/>
          <w:sz w:val="32"/>
          <w:szCs w:val="32"/>
        </w:rPr>
        <w:t>%</w:t>
      </w:r>
      <w:r>
        <w:rPr>
          <w:rFonts w:hint="eastAsia" w:ascii="仿宋" w:hAnsi="仿宋" w:eastAsia="仿宋"/>
          <w:sz w:val="32"/>
          <w:szCs w:val="32"/>
        </w:rPr>
        <w:t>，主要变动原因是一般公共预算财政拨款收入增加；支出增加8423.78万元，增长15.44</w:t>
      </w:r>
      <w:r>
        <w:rPr>
          <w:rFonts w:ascii="仿宋" w:hAnsi="仿宋" w:eastAsia="仿宋"/>
          <w:sz w:val="32"/>
          <w:szCs w:val="32"/>
        </w:rPr>
        <w:t>%</w:t>
      </w:r>
      <w:r>
        <w:rPr>
          <w:rFonts w:hint="eastAsia" w:ascii="仿宋" w:hAnsi="仿宋" w:eastAsia="仿宋"/>
          <w:sz w:val="32"/>
          <w:szCs w:val="32"/>
        </w:rPr>
        <w:t>，主要变动原因是用于学校正常运转和自身发展的支出增加。</w:t>
      </w:r>
    </w:p>
    <w:p>
      <w:pPr>
        <w:pStyle w:val="2"/>
        <w:spacing w:before="93"/>
      </w:pPr>
      <w:r>
        <w:drawing>
          <wp:inline distT="0" distB="0" distL="114300" distR="114300">
            <wp:extent cx="5607685" cy="3484880"/>
            <wp:effectExtent l="4445" t="4445" r="11430"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6"/>
        <w:jc w:val="center"/>
        <w:rPr>
          <w:sz w:val="21"/>
          <w:szCs w:val="21"/>
        </w:rPr>
      </w:pPr>
      <w:r>
        <w:rPr>
          <w:rFonts w:hint="eastAsia"/>
          <w:sz w:val="21"/>
          <w:szCs w:val="21"/>
        </w:rPr>
        <w:t>图1</w:t>
      </w:r>
    </w:p>
    <w:p>
      <w:pPr>
        <w:spacing w:line="600" w:lineRule="exact"/>
        <w:jc w:val="left"/>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2021年本年收入合计57986.61万元，其中：一般公共预算财政拨款收入40754.54万元，占70.28%；事业收入为11086.92万元，占19.12%；其他收入6145.15万元，占10.60%。</w:t>
      </w:r>
    </w:p>
    <w:p>
      <w:pPr>
        <w:pStyle w:val="6"/>
        <w:jc w:val="center"/>
        <w:rPr>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4445</wp:posOffset>
            </wp:positionV>
            <wp:extent cx="4572635" cy="2994025"/>
            <wp:effectExtent l="4445" t="4445" r="10160" b="1905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sz w:val="21"/>
          <w:szCs w:val="21"/>
        </w:rPr>
        <w:t>图2</w:t>
      </w:r>
    </w:p>
    <w:p>
      <w:pPr>
        <w:spacing w:line="600" w:lineRule="exact"/>
        <w:rPr>
          <w:rFonts w:ascii="仿宋_GB2312" w:eastAsia="仿宋_GB2312"/>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pPr>
      <w:r>
        <w:rPr>
          <w:rFonts w:hint="eastAsia" w:ascii="仿宋" w:hAnsi="仿宋" w:eastAsia="仿宋"/>
          <w:sz w:val="32"/>
          <w:szCs w:val="32"/>
        </w:rPr>
        <w:t>2021年本年支出合计62971.51万元，其中：基本支出38504.05万元，占61.15%；项目支出24467.46万元，占 38.85%。</w:t>
      </w:r>
    </w:p>
    <w:p>
      <w:pPr>
        <w:pStyle w:val="6"/>
        <w:jc w:val="center"/>
        <w:rPr>
          <w:sz w:val="21"/>
          <w:szCs w:val="21"/>
        </w:rPr>
      </w:pPr>
      <w:bookmarkStart w:id="24" w:name="_Toc15377208"/>
      <w:bookmarkStart w:id="25" w:name="_Toc15396606"/>
      <w:r>
        <w:drawing>
          <wp:anchor distT="0" distB="0" distL="114300" distR="114300" simplePos="0" relativeHeight="251660288" behindDoc="0" locked="0" layoutInCell="1" allowOverlap="1">
            <wp:simplePos x="0" y="0"/>
            <wp:positionH relativeFrom="column">
              <wp:posOffset>635000</wp:posOffset>
            </wp:positionH>
            <wp:positionV relativeFrom="paragraph">
              <wp:posOffset>111760</wp:posOffset>
            </wp:positionV>
            <wp:extent cx="4221480" cy="2933065"/>
            <wp:effectExtent l="4445" t="4445" r="10795" b="1905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sz w:val="21"/>
          <w:szCs w:val="21"/>
        </w:rPr>
        <w:t>图3</w:t>
      </w:r>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21年财政拨款收、支均为40754.54万元。与</w:t>
      </w:r>
      <w:r>
        <w:rPr>
          <w:rFonts w:ascii="仿宋" w:hAnsi="仿宋" w:eastAsia="仿宋"/>
          <w:sz w:val="32"/>
          <w:szCs w:val="32"/>
        </w:rPr>
        <w:t>20</w:t>
      </w:r>
      <w:r>
        <w:rPr>
          <w:rFonts w:hint="eastAsia" w:ascii="仿宋" w:hAnsi="仿宋" w:eastAsia="仿宋"/>
          <w:sz w:val="32"/>
          <w:szCs w:val="32"/>
        </w:rPr>
        <w:t>20年相比，财政拨款收、支总计各增加3372.12万元，各增长9.02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rPr>
        <w:t>2021年上级主管部门追加财政拨款5724.02万元。</w:t>
      </w:r>
    </w:p>
    <w:p>
      <w:pPr>
        <w:pStyle w:val="6"/>
        <w:jc w:val="center"/>
        <w:rPr>
          <w:sz w:val="21"/>
          <w:szCs w:val="21"/>
        </w:rPr>
      </w:pPr>
      <w:r>
        <w:rPr>
          <w:rFonts w:hint="eastAsia"/>
          <w:sz w:val="21"/>
          <w:szCs w:val="21"/>
        </w:rPr>
        <w:drawing>
          <wp:anchor distT="0" distB="0" distL="114300" distR="114300" simplePos="0" relativeHeight="251661312" behindDoc="0" locked="0" layoutInCell="1" allowOverlap="1">
            <wp:simplePos x="0" y="0"/>
            <wp:positionH relativeFrom="column">
              <wp:posOffset>172085</wp:posOffset>
            </wp:positionH>
            <wp:positionV relativeFrom="paragraph">
              <wp:posOffset>51435</wp:posOffset>
            </wp:positionV>
            <wp:extent cx="4983480" cy="3977005"/>
            <wp:effectExtent l="4445" t="4445" r="10795" b="11430"/>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sz w:val="21"/>
          <w:szCs w:val="21"/>
        </w:rPr>
        <w:t>图4</w:t>
      </w:r>
    </w:p>
    <w:p/>
    <w:p>
      <w:pPr>
        <w:spacing w:line="600" w:lineRule="exact"/>
        <w:ind w:firstLine="640" w:firstLineChars="200"/>
        <w:outlineLvl w:val="1"/>
        <w:rPr>
          <w:rStyle w:val="26"/>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2021年财政拨款支出全部为一般公共预算财政拨款支出，因此总体情况就是财政拨款支出决算总体情况。</w:t>
      </w:r>
    </w:p>
    <w:p>
      <w:pPr>
        <w:spacing w:line="600" w:lineRule="exact"/>
        <w:ind w:firstLine="420" w:firstLineChars="200"/>
      </w:pPr>
    </w:p>
    <w:p>
      <w:pPr>
        <w:spacing w:line="600" w:lineRule="exact"/>
        <w:ind w:firstLine="420" w:firstLineChars="200"/>
      </w:pPr>
    </w:p>
    <w:p>
      <w:pPr>
        <w:pStyle w:val="6"/>
        <w:jc w:val="center"/>
      </w:pPr>
      <w:r>
        <w:rPr>
          <w:rFonts w:hint="eastAsia"/>
          <w:sz w:val="21"/>
          <w:szCs w:val="21"/>
        </w:rPr>
        <w:drawing>
          <wp:anchor distT="0" distB="0" distL="114300" distR="114300" simplePos="0" relativeHeight="251662336" behindDoc="0" locked="0" layoutInCell="1" allowOverlap="1">
            <wp:simplePos x="0" y="0"/>
            <wp:positionH relativeFrom="column">
              <wp:posOffset>476885</wp:posOffset>
            </wp:positionH>
            <wp:positionV relativeFrom="paragraph">
              <wp:posOffset>172085</wp:posOffset>
            </wp:positionV>
            <wp:extent cx="4572000" cy="3032760"/>
            <wp:effectExtent l="4445" t="4445" r="10795" b="1079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sz w:val="21"/>
          <w:szCs w:val="21"/>
        </w:rPr>
        <w:t>图5</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21年一般公共预算财政拨款支出40754.54万元，主要用于以下方面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40154.27万元，占98.93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支出26.72万元，占0.07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支出22.11万元，占0.05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539.91万元，占1.32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其他支出</w:t>
      </w:r>
      <w:r>
        <w:rPr>
          <w:rFonts w:hint="eastAsia" w:ascii="仿宋" w:hAnsi="仿宋" w:eastAsia="仿宋"/>
          <w:sz w:val="32"/>
          <w:szCs w:val="32"/>
        </w:rPr>
        <w:t>11.53万元，占0.03</w:t>
      </w:r>
      <w:r>
        <w:rPr>
          <w:rFonts w:ascii="仿宋" w:hAnsi="仿宋" w:eastAsia="仿宋"/>
          <w:sz w:val="32"/>
          <w:szCs w:val="32"/>
        </w:rPr>
        <w:t>%</w:t>
      </w:r>
      <w:r>
        <w:rPr>
          <w:rFonts w:hint="eastAsia" w:ascii="仿宋" w:hAnsi="仿宋" w:eastAsia="仿宋"/>
          <w:sz w:val="32"/>
          <w:szCs w:val="32"/>
        </w:rPr>
        <w:t>。</w:t>
      </w:r>
    </w:p>
    <w:p>
      <w:pPr>
        <w:pStyle w:val="2"/>
        <w:spacing w:before="93"/>
        <w:jc w:val="center"/>
        <w:rPr>
          <w:rFonts w:ascii="仿宋" w:hAnsi="仿宋" w:eastAsia="仿宋"/>
          <w:b/>
          <w:sz w:val="32"/>
          <w:szCs w:val="32"/>
        </w:rPr>
      </w:pPr>
      <w:r>
        <w:rPr>
          <w:rFonts w:hint="eastAsia" w:ascii="Arial" w:hAnsi="Arial" w:eastAsia="黑体"/>
          <w:kern w:val="2"/>
          <w:sz w:val="21"/>
          <w:szCs w:val="21"/>
        </w:rPr>
        <w:drawing>
          <wp:anchor distT="0" distB="0" distL="114300" distR="114300" simplePos="0" relativeHeight="251663360" behindDoc="0" locked="0" layoutInCell="1" allowOverlap="1">
            <wp:simplePos x="0" y="0"/>
            <wp:positionH relativeFrom="column">
              <wp:posOffset>73025</wp:posOffset>
            </wp:positionH>
            <wp:positionV relativeFrom="paragraph">
              <wp:posOffset>127000</wp:posOffset>
            </wp:positionV>
            <wp:extent cx="5271770" cy="3564890"/>
            <wp:effectExtent l="4445" t="4445" r="12065" b="12065"/>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Arial" w:hAnsi="Arial" w:eastAsia="黑体"/>
          <w:kern w:val="2"/>
          <w:sz w:val="21"/>
          <w:szCs w:val="21"/>
        </w:rPr>
        <w:t>图6</w:t>
      </w:r>
      <w:bookmarkStart w:id="3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2021年一般公共预算支出决算数为</w:t>
      </w:r>
      <w:r>
        <w:rPr>
          <w:rFonts w:hint="eastAsia" w:ascii="仿宋" w:hAnsi="仿宋" w:eastAsia="仿宋"/>
          <w:sz w:val="32"/>
          <w:szCs w:val="32"/>
        </w:rPr>
        <w:t>40754.54万元，</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教育支出（类）普通教育（款）高等教育（项）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Fonts w:hint="eastAsia" w:ascii="仿宋" w:hAnsi="仿宋" w:eastAsia="仿宋"/>
          <w:sz w:val="32"/>
          <w:szCs w:val="32"/>
        </w:rPr>
        <w:t>40154.27</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ascii="仿宋" w:hAnsi="仿宋" w:eastAsia="仿宋"/>
          <w:bCs/>
          <w:sz w:val="32"/>
          <w:szCs w:val="32"/>
        </w:rPr>
        <w:t>2.</w:t>
      </w:r>
      <w:r>
        <w:rPr>
          <w:rStyle w:val="15"/>
          <w:rFonts w:hint="eastAsia" w:ascii="仿宋" w:hAnsi="仿宋" w:eastAsia="仿宋"/>
          <w:bCs/>
          <w:sz w:val="32"/>
          <w:szCs w:val="32"/>
        </w:rPr>
        <w:t>科学技术（类）基础研究（款）专项基础科研（项）</w:t>
      </w:r>
      <w:r>
        <w:rPr>
          <w:rStyle w:val="15"/>
          <w:rFonts w:ascii="仿宋" w:hAnsi="仿宋" w:eastAsia="仿宋"/>
          <w:bCs/>
          <w:sz w:val="32"/>
          <w:szCs w:val="32"/>
        </w:rPr>
        <w:t>:</w:t>
      </w:r>
      <w:r>
        <w:rPr>
          <w:rStyle w:val="15"/>
          <w:rFonts w:hint="eastAsia" w:ascii="仿宋" w:hAnsi="仿宋" w:eastAsia="仿宋"/>
          <w:b w:val="0"/>
          <w:bCs/>
          <w:sz w:val="32"/>
          <w:szCs w:val="32"/>
        </w:rPr>
        <w:t>支出决算为20.26万元，完成预算100%；</w:t>
      </w:r>
    </w:p>
    <w:p>
      <w:pPr>
        <w:spacing w:line="600" w:lineRule="exact"/>
        <w:ind w:firstLine="964" w:firstLineChars="300"/>
        <w:rPr>
          <w:rStyle w:val="15"/>
          <w:rFonts w:ascii="仿宋" w:hAnsi="仿宋" w:eastAsia="仿宋"/>
          <w:b w:val="0"/>
          <w:bCs/>
          <w:sz w:val="32"/>
          <w:szCs w:val="32"/>
        </w:rPr>
      </w:pPr>
      <w:r>
        <w:rPr>
          <w:rStyle w:val="15"/>
          <w:rFonts w:hint="eastAsia" w:ascii="仿宋" w:hAnsi="仿宋" w:eastAsia="仿宋"/>
          <w:bCs/>
          <w:sz w:val="32"/>
          <w:szCs w:val="32"/>
        </w:rPr>
        <w:t>科学技术（类）科技重大项目（款） 重点研发计划（项）：</w:t>
      </w:r>
      <w:r>
        <w:rPr>
          <w:rStyle w:val="15"/>
          <w:rFonts w:hint="eastAsia" w:ascii="仿宋" w:hAnsi="仿宋" w:eastAsia="仿宋"/>
          <w:b w:val="0"/>
          <w:bCs/>
          <w:sz w:val="32"/>
          <w:szCs w:val="32"/>
        </w:rPr>
        <w:t>支出决算为</w:t>
      </w:r>
      <w:r>
        <w:rPr>
          <w:rStyle w:val="15"/>
          <w:rFonts w:hint="eastAsia" w:ascii="仿宋" w:hAnsi="仿宋" w:eastAsia="仿宋" w:cstheme="minorBidi"/>
          <w:b w:val="0"/>
          <w:bCs/>
          <w:sz w:val="32"/>
          <w:szCs w:val="32"/>
        </w:rPr>
        <w:t>6.46万元，</w:t>
      </w:r>
      <w:r>
        <w:rPr>
          <w:rStyle w:val="15"/>
          <w:rFonts w:hint="eastAsia" w:ascii="仿宋" w:hAnsi="仿宋" w:eastAsia="仿宋"/>
          <w:b w:val="0"/>
          <w:bCs/>
          <w:sz w:val="32"/>
          <w:szCs w:val="32"/>
        </w:rPr>
        <w:t>完成预算100%。</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sz w:val="32"/>
          <w:szCs w:val="32"/>
        </w:rPr>
        <w:t>3.</w:t>
      </w:r>
      <w:r>
        <w:rPr>
          <w:rStyle w:val="15"/>
          <w:rFonts w:hint="eastAsia" w:ascii="仿宋" w:hAnsi="仿宋" w:eastAsia="仿宋"/>
          <w:bCs/>
          <w:sz w:val="32"/>
          <w:szCs w:val="32"/>
        </w:rPr>
        <w:t>社会保障和就业（类）行政事业单位养老支出（款）事业单位离退休（项）</w:t>
      </w:r>
      <w:r>
        <w:rPr>
          <w:rStyle w:val="15"/>
          <w:rFonts w:ascii="仿宋" w:hAnsi="仿宋" w:eastAsia="仿宋"/>
          <w:bCs/>
          <w:sz w:val="32"/>
          <w:szCs w:val="32"/>
        </w:rPr>
        <w:t>:</w:t>
      </w:r>
      <w:r>
        <w:rPr>
          <w:rStyle w:val="15"/>
          <w:rFonts w:hint="eastAsia" w:ascii="仿宋" w:hAnsi="仿宋" w:eastAsia="仿宋"/>
          <w:b w:val="0"/>
          <w:bCs/>
          <w:sz w:val="32"/>
          <w:szCs w:val="32"/>
        </w:rPr>
        <w:t>支出决算为6.11万元，完成预算100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pPr>
      <w:r>
        <w:rPr>
          <w:rStyle w:val="15"/>
          <w:rFonts w:hint="eastAsia" w:ascii="仿宋" w:hAnsi="仿宋" w:eastAsia="仿宋"/>
          <w:bCs/>
          <w:sz w:val="32"/>
          <w:szCs w:val="32"/>
        </w:rPr>
        <w:t>社会保障和就业（类）其他社会保障和就业支出（款）其他社会保障和就业支出（项）</w:t>
      </w:r>
      <w:r>
        <w:rPr>
          <w:rStyle w:val="15"/>
          <w:rFonts w:ascii="仿宋" w:hAnsi="仿宋" w:eastAsia="仿宋"/>
          <w:bCs/>
          <w:sz w:val="32"/>
          <w:szCs w:val="32"/>
        </w:rPr>
        <w:t>:</w:t>
      </w:r>
      <w:r>
        <w:rPr>
          <w:rStyle w:val="15"/>
          <w:rFonts w:hint="eastAsia" w:ascii="仿宋" w:hAnsi="仿宋" w:eastAsia="仿宋"/>
          <w:b w:val="0"/>
          <w:bCs/>
          <w:sz w:val="32"/>
          <w:szCs w:val="32"/>
        </w:rPr>
        <w:t>支出决算为16.00万元，完成预算100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（类）公共卫生（款）基本公共卫生服务（项）</w:t>
      </w:r>
      <w:r>
        <w:rPr>
          <w:rStyle w:val="15"/>
          <w:rFonts w:ascii="仿宋" w:hAnsi="仿宋" w:eastAsia="仿宋"/>
          <w:bCs/>
          <w:sz w:val="32"/>
          <w:szCs w:val="32"/>
        </w:rPr>
        <w:t>:</w:t>
      </w:r>
      <w:r>
        <w:rPr>
          <w:rStyle w:val="15"/>
          <w:rFonts w:hint="eastAsia" w:ascii="仿宋" w:hAnsi="仿宋" w:eastAsia="仿宋"/>
          <w:b w:val="0"/>
          <w:bCs/>
          <w:sz w:val="32"/>
          <w:szCs w:val="32"/>
        </w:rPr>
        <w:t>支出决算为60.22万元，完成预算100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964" w:firstLineChars="300"/>
        <w:rPr>
          <w:rStyle w:val="15"/>
          <w:rFonts w:ascii="仿宋" w:hAnsi="仿宋" w:eastAsia="仿宋"/>
          <w:b w:val="0"/>
          <w:bCs/>
          <w:sz w:val="32"/>
          <w:szCs w:val="32"/>
        </w:rPr>
      </w:pPr>
      <w:r>
        <w:rPr>
          <w:rFonts w:hint="eastAsia" w:ascii="仿宋" w:hAnsi="仿宋" w:eastAsia="仿宋"/>
          <w:b/>
          <w:bCs/>
          <w:sz w:val="32"/>
          <w:szCs w:val="32"/>
        </w:rPr>
        <w:t>卫生健康</w:t>
      </w:r>
      <w:r>
        <w:rPr>
          <w:rStyle w:val="15"/>
          <w:rFonts w:hint="eastAsia" w:ascii="仿宋" w:hAnsi="仿宋" w:eastAsia="仿宋"/>
          <w:bCs/>
          <w:sz w:val="32"/>
          <w:szCs w:val="32"/>
        </w:rPr>
        <w:t>（类）中医（民族医）药专项（款）中医（民族医）药专项（项）</w:t>
      </w:r>
      <w:r>
        <w:rPr>
          <w:rStyle w:val="15"/>
          <w:rFonts w:ascii="仿宋" w:hAnsi="仿宋" w:eastAsia="仿宋"/>
          <w:bCs/>
          <w:sz w:val="32"/>
          <w:szCs w:val="32"/>
        </w:rPr>
        <w:t>:</w:t>
      </w:r>
      <w:r>
        <w:rPr>
          <w:rStyle w:val="15"/>
          <w:rFonts w:hint="eastAsia" w:ascii="仿宋" w:hAnsi="仿宋" w:eastAsia="仿宋"/>
          <w:b w:val="0"/>
          <w:bCs/>
          <w:sz w:val="32"/>
          <w:szCs w:val="32"/>
        </w:rPr>
        <w:t>支出决算为4.99万元，完成预算100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pStyle w:val="2"/>
        <w:spacing w:before="93"/>
        <w:ind w:firstLine="964" w:firstLineChars="300"/>
      </w:pPr>
      <w:r>
        <w:rPr>
          <w:rFonts w:hint="eastAsia" w:ascii="仿宋" w:hAnsi="仿宋" w:eastAsia="仿宋"/>
          <w:b/>
          <w:bCs/>
          <w:sz w:val="32"/>
          <w:szCs w:val="32"/>
        </w:rPr>
        <w:t>卫生健康</w:t>
      </w:r>
      <w:r>
        <w:rPr>
          <w:rStyle w:val="15"/>
          <w:rFonts w:hint="eastAsia" w:ascii="仿宋" w:hAnsi="仿宋" w:eastAsia="仿宋"/>
          <w:bCs/>
          <w:sz w:val="32"/>
          <w:szCs w:val="32"/>
        </w:rPr>
        <w:t>（类）其他卫生健康支出（款）其他卫生健康支出（项）</w:t>
      </w:r>
      <w:r>
        <w:rPr>
          <w:rStyle w:val="15"/>
          <w:rFonts w:ascii="仿宋" w:hAnsi="仿宋" w:eastAsia="仿宋"/>
          <w:bCs/>
          <w:sz w:val="32"/>
          <w:szCs w:val="32"/>
        </w:rPr>
        <w:t>:</w:t>
      </w:r>
      <w:r>
        <w:rPr>
          <w:rStyle w:val="15"/>
          <w:rFonts w:hint="eastAsia" w:ascii="仿宋" w:hAnsi="仿宋" w:eastAsia="仿宋"/>
          <w:b w:val="0"/>
          <w:bCs/>
          <w:sz w:val="32"/>
          <w:szCs w:val="32"/>
        </w:rPr>
        <w:t>支出决算为474.70万元，完成预算100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Fonts w:hint="eastAsia" w:ascii="仿宋" w:hAnsi="仿宋" w:eastAsia="仿宋"/>
          <w:b/>
          <w:bCs/>
          <w:sz w:val="32"/>
          <w:szCs w:val="32"/>
        </w:rPr>
        <w:t>其他支出</w:t>
      </w:r>
      <w:r>
        <w:rPr>
          <w:rStyle w:val="15"/>
          <w:rFonts w:hint="eastAsia" w:ascii="仿宋" w:hAnsi="仿宋" w:eastAsia="仿宋"/>
          <w:bCs/>
          <w:sz w:val="32"/>
          <w:szCs w:val="32"/>
        </w:rPr>
        <w:t>（类）其他支出（款）其他支出（项）</w:t>
      </w:r>
      <w:r>
        <w:rPr>
          <w:rStyle w:val="15"/>
          <w:rFonts w:ascii="仿宋" w:hAnsi="仿宋" w:eastAsia="仿宋"/>
          <w:bCs/>
          <w:sz w:val="32"/>
          <w:szCs w:val="32"/>
        </w:rPr>
        <w:t>:</w:t>
      </w:r>
      <w:r>
        <w:rPr>
          <w:rStyle w:val="15"/>
          <w:rFonts w:hint="eastAsia" w:ascii="仿宋" w:hAnsi="仿宋" w:eastAsia="仿宋"/>
          <w:b w:val="0"/>
          <w:bCs/>
          <w:sz w:val="32"/>
          <w:szCs w:val="32"/>
        </w:rPr>
        <w:t>支出决算为11.53万元，完成预算100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tabs>
          <w:tab w:val="right" w:pos="8306"/>
        </w:tabs>
        <w:spacing w:line="600" w:lineRule="exact"/>
        <w:ind w:firstLine="640"/>
        <w:outlineLvl w:val="1"/>
        <w:rPr>
          <w:rFonts w:ascii="黑体" w:eastAsia="黑体"/>
          <w:sz w:val="32"/>
          <w:szCs w:val="32"/>
        </w:rPr>
      </w:pPr>
      <w:bookmarkStart w:id="34" w:name="_Toc15377214"/>
      <w:bookmarkStart w:id="35" w:name="_Toc15396608"/>
    </w:p>
    <w:p>
      <w:pPr>
        <w:tabs>
          <w:tab w:val="right" w:pos="8306"/>
        </w:tabs>
        <w:spacing w:line="600" w:lineRule="exact"/>
        <w:ind w:firstLine="640"/>
        <w:outlineLvl w:val="1"/>
        <w:rPr>
          <w:rStyle w:val="26"/>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21年一般公共预算财政拨款基本支出26484.11万元，其中：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18950.11万元，主要包括：基本工资4500万元、津贴补贴100万元、绩效工资6400万元、机关事业单位基本养老保险缴费1600万元、职业年金缴费800万元、职工基本医疗保险缴费1100万元、其他社会保障缴费200万元、住房公积金1800万元、其他工资福利支出1828万元、助学金500万元、其他对个人和家庭的补助支出122.11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7534万元，主要包括：办公费100万元、水费300万元、电费400万元、邮电费20万元、物业管理费250万元、差旅费100万元、维修（护）费500万元、培训费100万元、劳务费600万元、工会经费150万元、福利费100万元、其他商品和服务支出4914万元。</w:t>
      </w:r>
    </w:p>
    <w:p>
      <w:pPr>
        <w:pStyle w:val="2"/>
        <w:spacing w:before="93"/>
      </w:pP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bookmarkStart w:id="67" w:name="_GoBack"/>
      <w:bookmarkEnd w:id="67"/>
    </w:p>
    <w:p>
      <w:pPr>
        <w:spacing w:line="600" w:lineRule="exact"/>
        <w:ind w:firstLine="640"/>
        <w:rPr>
          <w:rFonts w:ascii="仿宋" w:hAnsi="仿宋" w:eastAsia="仿宋"/>
          <w:sz w:val="32"/>
          <w:szCs w:val="32"/>
        </w:rPr>
      </w:pPr>
      <w:r>
        <w:rPr>
          <w:rFonts w:hint="eastAsia" w:ascii="仿宋" w:hAnsi="仿宋" w:eastAsia="仿宋"/>
          <w:sz w:val="32"/>
          <w:szCs w:val="32"/>
        </w:rPr>
        <w:t>2021 年财政拨款安排“三公</w:t>
      </w:r>
      <w:r>
        <w:rPr>
          <w:rFonts w:hint="eastAsia" w:ascii="仿宋" w:hAnsi="仿宋" w:eastAsia="仿宋"/>
          <w:sz w:val="32"/>
          <w:szCs w:val="32"/>
          <w:lang w:eastAsia="zh-CN"/>
        </w:rPr>
        <w:t>”</w:t>
      </w:r>
      <w:r>
        <w:rPr>
          <w:rFonts w:hint="eastAsia" w:ascii="仿宋" w:hAnsi="仿宋" w:eastAsia="仿宋"/>
          <w:sz w:val="32"/>
          <w:szCs w:val="32"/>
        </w:rPr>
        <w:t>经费预算</w:t>
      </w:r>
      <w:r>
        <w:rPr>
          <w:rFonts w:hint="eastAsia" w:ascii="仿宋" w:hAnsi="仿宋" w:eastAsia="仿宋"/>
          <w:sz w:val="32"/>
          <w:szCs w:val="32"/>
          <w:lang w:val="en-US" w:eastAsia="zh-CN"/>
        </w:rPr>
        <w:t>为0元，</w:t>
      </w:r>
      <w:r>
        <w:rPr>
          <w:rFonts w:ascii="仿宋" w:hAnsi="仿宋" w:eastAsia="仿宋"/>
          <w:sz w:val="32"/>
          <w:szCs w:val="32"/>
        </w:rPr>
        <w:t>20</w:t>
      </w:r>
      <w:r>
        <w:rPr>
          <w:rFonts w:hint="eastAsia" w:ascii="仿宋" w:hAnsi="仿宋" w:eastAsia="仿宋"/>
          <w:sz w:val="32"/>
          <w:szCs w:val="32"/>
        </w:rPr>
        <w:t>21年“三公”经费财政拨款支出决算为0万元，完成预算100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21年“三公”经费财政拨款支出决算中，因公出国（境）费支出决算0万元；公务用车购置费支出决算0万元</w:t>
      </w:r>
      <w:r>
        <w:rPr>
          <w:rFonts w:hint="eastAsia" w:ascii="仿宋" w:hAnsi="仿宋" w:eastAsia="仿宋"/>
          <w:sz w:val="32"/>
          <w:szCs w:val="32"/>
          <w:lang w:eastAsia="zh-CN"/>
        </w:rPr>
        <w:t>，公务用车运行费</w:t>
      </w:r>
      <w:r>
        <w:rPr>
          <w:rFonts w:hint="eastAsia" w:ascii="仿宋" w:hAnsi="仿宋" w:eastAsia="仿宋"/>
          <w:sz w:val="32"/>
          <w:szCs w:val="32"/>
          <w:lang w:val="en-US" w:eastAsia="zh-CN"/>
        </w:rPr>
        <w:t>支出决算0万元</w:t>
      </w:r>
      <w:r>
        <w:rPr>
          <w:rFonts w:hint="eastAsia" w:ascii="仿宋" w:hAnsi="仿宋" w:eastAsia="仿宋"/>
          <w:sz w:val="32"/>
          <w:szCs w:val="32"/>
        </w:rPr>
        <w:t>；公务接待费支出决算0万元。</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42" w:name="_Toc15377219"/>
      <w:bookmarkStart w:id="43" w:name="_Toc15396611"/>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_GB2312"/>
          <w:b/>
          <w:sz w:val="32"/>
          <w:szCs w:val="32"/>
        </w:rPr>
      </w:pPr>
      <w:r>
        <w:rPr>
          <w:rFonts w:ascii="仿宋_GB2312" w:eastAsia="仿宋_GB2312"/>
          <w:sz w:val="32"/>
          <w:szCs w:val="32"/>
        </w:rPr>
        <w:t>20</w:t>
      </w:r>
      <w:r>
        <w:rPr>
          <w:rFonts w:hint="eastAsia" w:ascii="仿宋_GB2312" w:eastAsia="仿宋_GB2312"/>
          <w:sz w:val="32"/>
          <w:szCs w:val="32"/>
        </w:rPr>
        <w:t>21年，机关运行经费支出0万元，比</w:t>
      </w:r>
      <w:r>
        <w:rPr>
          <w:rFonts w:ascii="仿宋_GB2312" w:eastAsia="仿宋_GB2312"/>
          <w:sz w:val="32"/>
          <w:szCs w:val="32"/>
        </w:rPr>
        <w:t>20</w:t>
      </w:r>
      <w:r>
        <w:rPr>
          <w:rFonts w:hint="eastAsia" w:ascii="仿宋_GB2312" w:eastAsia="仿宋_GB2312"/>
          <w:sz w:val="32"/>
          <w:szCs w:val="32"/>
        </w:rPr>
        <w:t>20年相比无增减变动。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1074.59万元，其中：政府采购货物支出952.41万元、政府采购服务支出122.18万元，主要用于实验室建设、教学平台建设、教学楼改造等。授予中小企业合同金额200万元，占政府采购支出总额的18.61</w:t>
      </w:r>
      <w:r>
        <w:rPr>
          <w:rFonts w:ascii="仿宋_GB2312" w:eastAsia="仿宋_GB2312"/>
          <w:sz w:val="32"/>
          <w:szCs w:val="32"/>
        </w:rPr>
        <w:t>%</w:t>
      </w:r>
      <w:r>
        <w:rPr>
          <w:rFonts w:hint="eastAsia" w:ascii="仿宋_GB2312" w:eastAsia="仿宋_GB2312"/>
          <w:sz w:val="32"/>
          <w:szCs w:val="32"/>
        </w:rPr>
        <w:t>，其中：授予小微企业合同金额0万元。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17辆，其中：主要领导干部用车1辆、特种专业技术用车1辆、离退休干部用车2辆、其他用车13辆，其他用车主要是用于学校教职工因公出行。单价50万元以上通用设备0台（套），单价100万元以上专用设备39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未开展预算事前绩效评估，对12个项目编制了绩效目标，预算执行过程中，选取12个项目开展绩效监控，年终执行完毕后，对12个项目开展了绩效自评，2021年特定目标类部门预算项目绩效目标自评表见附件（第四部分）。</w:t>
      </w: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numPr>
          <w:ilvl w:val="0"/>
          <w:numId w:val="5"/>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教育（类）普通教育（款）高等教育（项）：指反映各部门举办的普通本科（包括研究生）教育支出。政府部门对社会组织举办的普通本科高等院校（包括研究生的资助）如捐赠、补贴等，也在本科目中反映。</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科学技术（类）基础研究（款）专项基础研究（项）：指反映从事基础研究、近期无法取得实用价值的应用研究机构的支出、专项科学研究支出，以及国家实验室、国家重点实验室、重大科学工程、高层科技人才等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科学技术（类）科技重大项目（款）重点研发计划（项）：指反映用于科技重大专项的经费支出。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社会保障和就业支出（类）行政事业单位养老支出（款）事业单位离退休（项）：指反映实行归口管理的事业单位开支的离退休经费。</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社会保障和就业支出（类）其他社会保障和就业支出（款）其他社会保障和就业支出（项）：指反映出上述项目以外其他用于社会保障和就业方面的支出。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卫生健康支出支出（类）公共卫生（款）基本公共卫生服务（项）：指反映基本公共卫生服务支出。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卫生健康支出（类）公共卫生（款）其他公共卫生支出（项）：指反映出上述项目以外的其他用于公共卫生方面的支出。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卫生健康支出（类）中医药（款）中医（民族医）药专项（项）：指反映中医（民族医）药方面的专项支出。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卫生健康支出（类）其他卫生健康支出（款） 其他卫生健康支出（项）：指反映出上述项目以外其他用于卫生健康支出方面的支出。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其他支出（类）其他支出（款）其他支出（项）：指反映除上述项目以外其他不能划分到具体功能科目中的支出项目。</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24</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3"/>
        <w:tblpPr w:leftFromText="180" w:rightFromText="180" w:vertAnchor="text" w:horzAnchor="page" w:tblpX="1292" w:tblpY="660"/>
        <w:tblOverlap w:val="never"/>
        <w:tblW w:w="9800" w:type="dxa"/>
        <w:tblInd w:w="0" w:type="dxa"/>
        <w:tblLayout w:type="fixed"/>
        <w:tblCellMar>
          <w:top w:w="0" w:type="dxa"/>
          <w:left w:w="108" w:type="dxa"/>
          <w:bottom w:w="0" w:type="dxa"/>
          <w:right w:w="108" w:type="dxa"/>
        </w:tblCellMar>
      </w:tblPr>
      <w:tblGrid>
        <w:gridCol w:w="9564"/>
        <w:gridCol w:w="236"/>
      </w:tblGrid>
      <w:tr>
        <w:tblPrEx>
          <w:tblCellMar>
            <w:top w:w="0" w:type="dxa"/>
            <w:left w:w="108" w:type="dxa"/>
            <w:bottom w:w="0" w:type="dxa"/>
            <w:right w:w="108" w:type="dxa"/>
          </w:tblCellMar>
        </w:tblPrEx>
        <w:trPr>
          <w:trHeight w:val="675" w:hRule="atLeast"/>
        </w:trPr>
        <w:tc>
          <w:tcPr>
            <w:tcW w:w="9566" w:type="dxa"/>
            <w:tcBorders>
              <w:top w:val="nil"/>
              <w:left w:val="nil"/>
              <w:bottom w:val="nil"/>
              <w:right w:val="nil"/>
            </w:tcBorders>
            <w:shd w:val="clear" w:color="auto" w:fill="auto"/>
            <w:vAlign w:val="center"/>
          </w:tcPr>
          <w:p>
            <w:pPr>
              <w:widowControl/>
              <w:textAlignment w:val="center"/>
              <w:rPr>
                <w:rFonts w:ascii="宋体" w:hAnsi="宋体" w:cs="宋体"/>
                <w:b/>
                <w:sz w:val="32"/>
                <w:szCs w:val="32"/>
              </w:rPr>
            </w:pPr>
            <w:bookmarkStart w:id="53" w:name="_Toc15396618"/>
            <w:r>
              <w:rPr>
                <w:rFonts w:hint="eastAsia" w:ascii="宋体" w:hAns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bl>
    <w:tbl>
      <w:tblPr>
        <w:tblStyle w:val="31"/>
        <w:tblpPr w:leftFromText="180" w:rightFromText="180" w:vertAnchor="text" w:horzAnchor="page" w:tblpX="1209" w:tblpY="183"/>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551"/>
        <w:gridCol w:w="1456"/>
        <w:gridCol w:w="144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主管部门及代码</w:t>
            </w:r>
          </w:p>
        </w:tc>
        <w:tc>
          <w:tcPr>
            <w:tcW w:w="3007" w:type="dxa"/>
            <w:gridSpan w:val="2"/>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304-四川省教育厅</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实施单位</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(万元)</w:t>
            </w: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预算数:</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6450</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执行数:</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财政拨款</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350</w:t>
            </w:r>
          </w:p>
          <w:p>
            <w:pPr>
              <w:widowControl/>
              <w:spacing w:line="320" w:lineRule="exact"/>
              <w:jc w:val="center"/>
              <w:textAlignment w:val="center"/>
              <w:rPr>
                <w:rFonts w:ascii="宋体" w:hAnsi="宋体" w:cs="宋体"/>
                <w:kern w:val="0"/>
                <w:sz w:val="24"/>
              </w:rPr>
            </w:pP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财政拨款</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其他资金</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6100</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其他资金</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6087.78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tcPr>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 完成情况</w:t>
            </w:r>
          </w:p>
        </w:tc>
        <w:tc>
          <w:tcPr>
            <w:tcW w:w="4266" w:type="dxa"/>
            <w:gridSpan w:val="3"/>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预期目标</w:t>
            </w:r>
          </w:p>
        </w:tc>
        <w:tc>
          <w:tcPr>
            <w:tcW w:w="2961" w:type="dxa"/>
            <w:gridSpan w:val="2"/>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183" w:type="dxa"/>
            <w:vMerge w:val="continue"/>
            <w:tcBorders>
              <w:top w:val="nil"/>
              <w:bottom w:val="single" w:color="000000" w:sz="2" w:space="0"/>
            </w:tcBorders>
          </w:tcPr>
          <w:p>
            <w:pPr>
              <w:widowControl/>
              <w:spacing w:line="320" w:lineRule="exact"/>
              <w:jc w:val="center"/>
              <w:textAlignment w:val="center"/>
              <w:rPr>
                <w:rFonts w:ascii="宋体" w:hAnsi="宋体" w:cs="宋体"/>
                <w:kern w:val="0"/>
                <w:sz w:val="24"/>
              </w:rPr>
            </w:pPr>
          </w:p>
        </w:tc>
        <w:tc>
          <w:tcPr>
            <w:tcW w:w="4266" w:type="dxa"/>
            <w:gridSpan w:val="3"/>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按照贷款合同约定，及时、足额偿还学校贷款本金及利息。</w:t>
            </w:r>
          </w:p>
        </w:tc>
        <w:tc>
          <w:tcPr>
            <w:tcW w:w="2961" w:type="dxa"/>
            <w:gridSpan w:val="2"/>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及时、足额偿还学校贷款本金及利息。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tcPr>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年度绩效指标完 成情况</w:t>
            </w:r>
          </w:p>
        </w:tc>
        <w:tc>
          <w:tcPr>
            <w:tcW w:w="1259"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预期指标值</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restart"/>
            <w:tcBorders>
              <w:top w:val="single" w:color="000000" w:sz="2" w:space="0"/>
              <w:bottom w:val="nil"/>
            </w:tcBorders>
          </w:tcPr>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r>
              <w:rPr>
                <w:rFonts w:hint="eastAsia" w:ascii="宋体" w:hAnsi="宋体" w:cs="宋体"/>
                <w:kern w:val="0"/>
                <w:sz w:val="24"/>
              </w:rPr>
              <w:t>完成</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551" w:type="dxa"/>
            <w:vMerge w:val="restart"/>
            <w:tcBorders>
              <w:top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数量指标</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偿还贷款本金</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6000万元</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6000万元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vMerge w:val="continue"/>
            <w:tcBorders>
              <w:bottom w:val="single" w:color="000000" w:sz="2" w:space="0"/>
            </w:tcBorders>
          </w:tcPr>
          <w:p>
            <w:pPr>
              <w:widowControl/>
              <w:spacing w:line="320" w:lineRule="exact"/>
              <w:jc w:val="center"/>
              <w:textAlignment w:val="center"/>
              <w:rPr>
                <w:rFonts w:ascii="宋体" w:hAnsi="宋体" w:cs="宋体"/>
                <w:kern w:val="0"/>
                <w:sz w:val="24"/>
              </w:rPr>
            </w:pP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偿还贷款利息</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450万元</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437.78万元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质量指标</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贷款逾期额</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0</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时效指标</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贷款偿还及时性</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及时</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single" w:color="000000" w:sz="2" w:space="0"/>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成本指标</w:t>
            </w:r>
          </w:p>
        </w:tc>
        <w:tc>
          <w:tcPr>
            <w:tcW w:w="1456"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按照合同偿还本金，减少利息</w:t>
            </w:r>
          </w:p>
        </w:tc>
        <w:tc>
          <w:tcPr>
            <w:tcW w:w="1448"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减少学校办学成本</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减少学校办学成本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restart"/>
            <w:tcBorders>
              <w:top w:val="single" w:color="000000" w:sz="2" w:space="0"/>
              <w:bottom w:val="nil"/>
            </w:tcBorders>
          </w:tcPr>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效益指标</w:t>
            </w:r>
          </w:p>
        </w:tc>
        <w:tc>
          <w:tcPr>
            <w:tcW w:w="1551"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经济效益指标</w:t>
            </w:r>
          </w:p>
        </w:tc>
        <w:tc>
          <w:tcPr>
            <w:tcW w:w="1456"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减少本金，减轻学校债务。</w:t>
            </w:r>
          </w:p>
        </w:tc>
        <w:tc>
          <w:tcPr>
            <w:tcW w:w="1448"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合理使用资金，效益最大化。</w:t>
            </w:r>
          </w:p>
        </w:tc>
        <w:tc>
          <w:tcPr>
            <w:tcW w:w="1513"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合理使用资金，效益最大化。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社会效益指标</w:t>
            </w:r>
          </w:p>
        </w:tc>
        <w:tc>
          <w:tcPr>
            <w:tcW w:w="1456"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贷款评价3a文件，信用评级社会信用评价</w:t>
            </w:r>
          </w:p>
        </w:tc>
        <w:tc>
          <w:tcPr>
            <w:tcW w:w="1448"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提升学校公信力</w:t>
            </w:r>
          </w:p>
        </w:tc>
        <w:tc>
          <w:tcPr>
            <w:tcW w:w="1513"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提升学校公信力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生态效益指标</w:t>
            </w:r>
          </w:p>
        </w:tc>
        <w:tc>
          <w:tcPr>
            <w:tcW w:w="1456"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无直接生态效益</w:t>
            </w:r>
          </w:p>
        </w:tc>
        <w:tc>
          <w:tcPr>
            <w:tcW w:w="1448"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无</w:t>
            </w:r>
          </w:p>
        </w:tc>
        <w:tc>
          <w:tcPr>
            <w:tcW w:w="1513"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tcPr>
          <w:p>
            <w:pPr>
              <w:widowControl/>
              <w:spacing w:line="320" w:lineRule="exact"/>
              <w:jc w:val="center"/>
              <w:textAlignment w:val="center"/>
              <w:rPr>
                <w:rFonts w:ascii="宋体" w:hAnsi="宋体" w:cs="宋体"/>
                <w:kern w:val="0"/>
                <w:sz w:val="24"/>
              </w:rPr>
            </w:pPr>
          </w:p>
        </w:tc>
        <w:tc>
          <w:tcPr>
            <w:tcW w:w="1259" w:type="dxa"/>
            <w:vMerge w:val="continue"/>
            <w:tcBorders>
              <w:top w:val="nil"/>
              <w:bottom w:val="single" w:color="000000" w:sz="2" w:space="0"/>
            </w:tcBorders>
          </w:tcPr>
          <w:p>
            <w:pPr>
              <w:widowControl/>
              <w:spacing w:line="320" w:lineRule="exact"/>
              <w:jc w:val="center"/>
              <w:textAlignment w:val="center"/>
              <w:rPr>
                <w:rFonts w:ascii="宋体" w:hAnsi="宋体" w:cs="宋体"/>
                <w:kern w:val="0"/>
                <w:sz w:val="24"/>
              </w:rPr>
            </w:pPr>
          </w:p>
        </w:tc>
        <w:tc>
          <w:tcPr>
            <w:tcW w:w="1551"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可持续影响指标</w:t>
            </w:r>
          </w:p>
        </w:tc>
        <w:tc>
          <w:tcPr>
            <w:tcW w:w="1456"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学校长期发展</w:t>
            </w:r>
          </w:p>
        </w:tc>
        <w:tc>
          <w:tcPr>
            <w:tcW w:w="1448"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利于学校长期发展</w:t>
            </w:r>
          </w:p>
        </w:tc>
        <w:tc>
          <w:tcPr>
            <w:tcW w:w="1513"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利于学校长期发展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tcPr>
          <w:p>
            <w:pPr>
              <w:widowControl/>
              <w:spacing w:line="320" w:lineRule="exact"/>
              <w:jc w:val="center"/>
              <w:textAlignment w:val="center"/>
              <w:rPr>
                <w:rFonts w:ascii="宋体" w:hAnsi="宋体" w:cs="宋体"/>
                <w:kern w:val="0"/>
                <w:sz w:val="24"/>
              </w:rPr>
            </w:pPr>
          </w:p>
        </w:tc>
        <w:tc>
          <w:tcPr>
            <w:tcW w:w="1259"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满意 度指标</w:t>
            </w:r>
          </w:p>
        </w:tc>
        <w:tc>
          <w:tcPr>
            <w:tcW w:w="1551"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满意度</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456"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服务对象满意度</w:t>
            </w:r>
          </w:p>
        </w:tc>
        <w:tc>
          <w:tcPr>
            <w:tcW w:w="1448" w:type="dxa"/>
            <w:tcBorders>
              <w:top w:val="single" w:color="000000" w:sz="2" w:space="0"/>
              <w:bottom w:val="single" w:color="000000" w:sz="2" w:space="0"/>
            </w:tcBorders>
            <w:vAlign w:val="center"/>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90%以上</w:t>
            </w:r>
          </w:p>
        </w:tc>
        <w:tc>
          <w:tcPr>
            <w:tcW w:w="1513" w:type="dxa"/>
            <w:tcBorders>
              <w:top w:val="single" w:color="000000" w:sz="2" w:space="0"/>
              <w:bottom w:val="single" w:color="000000" w:sz="2" w:space="0"/>
            </w:tcBorders>
          </w:tcPr>
          <w:p>
            <w:pPr>
              <w:widowControl/>
              <w:spacing w:line="320" w:lineRule="exact"/>
              <w:jc w:val="center"/>
              <w:textAlignment w:val="center"/>
              <w:rPr>
                <w:rFonts w:ascii="宋体" w:hAnsi="宋体" w:cs="宋体"/>
                <w:kern w:val="0"/>
                <w:szCs w:val="21"/>
              </w:rPr>
            </w:pPr>
            <w:r>
              <w:rPr>
                <w:rFonts w:hint="eastAsia" w:ascii="宋体" w:hAnsi="宋体" w:cs="宋体"/>
                <w:kern w:val="0"/>
                <w:szCs w:val="21"/>
              </w:rPr>
              <w:t>90%以上</w:t>
            </w:r>
          </w:p>
        </w:tc>
      </w:tr>
    </w:tbl>
    <w:p>
      <w:pPr>
        <w:widowControl/>
        <w:spacing w:line="320" w:lineRule="exact"/>
        <w:textAlignment w:val="bottom"/>
        <w:rPr>
          <w:rFonts w:ascii="仿宋_GB2312" w:hAnsi="仿宋_GB2312" w:eastAsia="仿宋_GB2312" w:cs="仿宋_GB2312"/>
          <w:kern w:val="0"/>
          <w:sz w:val="28"/>
          <w:szCs w:val="28"/>
        </w:rPr>
      </w:pPr>
    </w:p>
    <w:p>
      <w:pPr>
        <w:widowControl/>
        <w:spacing w:line="320" w:lineRule="exact"/>
        <w:jc w:val="center"/>
        <w:textAlignment w:val="center"/>
        <w:rPr>
          <w:rFonts w:ascii="宋体" w:hAnsi="宋体" w:cs="宋体"/>
          <w:kern w:val="0"/>
          <w:sz w:val="24"/>
        </w:rPr>
      </w:pPr>
    </w:p>
    <w:p>
      <w:pPr>
        <w:pStyle w:val="2"/>
        <w:spacing w:before="93"/>
      </w:pPr>
    </w:p>
    <w:p>
      <w:pPr>
        <w:pStyle w:val="2"/>
        <w:spacing w:before="93"/>
      </w:pPr>
    </w:p>
    <w:tbl>
      <w:tblPr>
        <w:tblStyle w:val="31"/>
        <w:tblpPr w:leftFromText="180" w:rightFromText="180" w:vertAnchor="text" w:horzAnchor="page" w:tblpX="1259" w:tblpY="1177"/>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505"/>
        <w:gridCol w:w="1718"/>
        <w:gridCol w:w="1036"/>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223"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036"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70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505"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7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871.8</w:t>
            </w:r>
          </w:p>
        </w:tc>
        <w:tc>
          <w:tcPr>
            <w:tcW w:w="1036"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70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505"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7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036"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70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tcBorders>
              <w:top w:val="single" w:color="000000" w:sz="2" w:space="0"/>
              <w:bottom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718" w:type="dxa"/>
            <w:tcBorders>
              <w:top w:val="single" w:color="000000" w:sz="2" w:space="0"/>
              <w:bottom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871.8</w:t>
            </w:r>
          </w:p>
        </w:tc>
        <w:tc>
          <w:tcPr>
            <w:tcW w:w="1036"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70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870.70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auto" w:sz="4" w:space="0"/>
              <w:left w:val="single" w:color="auto" w:sz="4"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482" w:type="dxa"/>
            <w:gridSpan w:val="3"/>
            <w:tcBorders>
              <w:top w:val="single" w:color="auto" w:sz="4" w:space="0"/>
              <w:bottom w:val="single" w:color="000000" w:sz="2" w:space="0"/>
              <w:right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745" w:type="dxa"/>
            <w:gridSpan w:val="2"/>
            <w:tcBorders>
              <w:top w:val="single" w:color="000000" w:sz="2" w:space="0"/>
              <w:left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4482" w:type="dxa"/>
            <w:gridSpan w:val="3"/>
            <w:tcBorders>
              <w:top w:val="single" w:color="000000" w:sz="2" w:space="0"/>
              <w:bottom w:val="single" w:color="auto" w:sz="4" w:space="0"/>
              <w:right w:val="single" w:color="auto" w:sz="4" w:space="0"/>
            </w:tcBorders>
          </w:tcPr>
          <w:p>
            <w:pPr>
              <w:spacing w:line="320" w:lineRule="exact"/>
              <w:jc w:val="center"/>
              <w:rPr>
                <w:rFonts w:ascii="宋体" w:hAnsi="宋体" w:cs="宋体"/>
                <w:szCs w:val="21"/>
              </w:rPr>
            </w:pPr>
            <w:r>
              <w:rPr>
                <w:rFonts w:hint="eastAsia" w:ascii="宋体" w:hAnsi="宋体" w:cs="宋体"/>
                <w:szCs w:val="21"/>
              </w:rPr>
              <w:t>1.购置中外文图书8万册；2、续订纸质外文期刊2种；3、续订纸质中文期刊约420种；4、订购纸质报纸46种；5、续订数据库25个（含Notepress）。</w:t>
            </w:r>
          </w:p>
        </w:tc>
        <w:tc>
          <w:tcPr>
            <w:tcW w:w="2745" w:type="dxa"/>
            <w:gridSpan w:val="2"/>
            <w:tcBorders>
              <w:top w:val="single" w:color="000000" w:sz="2" w:space="0"/>
              <w:left w:val="single" w:color="auto" w:sz="4" w:space="0"/>
              <w:bottom w:val="single" w:color="auto" w:sz="4" w:space="0"/>
            </w:tcBorders>
          </w:tcPr>
          <w:p>
            <w:pPr>
              <w:spacing w:line="320" w:lineRule="exact"/>
              <w:jc w:val="center"/>
              <w:rPr>
                <w:rFonts w:ascii="宋体" w:hAnsi="宋体" w:cs="宋体"/>
                <w:szCs w:val="21"/>
              </w:rPr>
            </w:pPr>
            <w:r>
              <w:rPr>
                <w:rFonts w:hint="eastAsia" w:ascii="宋体" w:hAnsi="宋体" w:cs="宋体"/>
                <w:szCs w:val="21"/>
              </w:rPr>
              <w:t>1.购置中外文图书8万册；2、续订纸质外文期刊2种；3、续订纸质中文期刊约420种；4、订购纸质报纸46种；5、续订数据库25个（含Notepress）。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auto" w:sz="4" w:space="0"/>
              <w:left w:val="single" w:color="auto" w:sz="4"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505" w:type="dxa"/>
            <w:tcBorders>
              <w:top w:val="single" w:color="auto" w:sz="4" w:space="0"/>
              <w:bottom w:val="single" w:color="000000" w:sz="2" w:space="0"/>
              <w:right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18" w:type="dxa"/>
            <w:tcBorders>
              <w:top w:val="single" w:color="auto" w:sz="4" w:space="0"/>
              <w:left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036" w:type="dxa"/>
            <w:tcBorders>
              <w:top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709" w:type="dxa"/>
            <w:tcBorders>
              <w:top w:val="single" w:color="auto" w:sz="4" w:space="0"/>
              <w:bottom w:val="single" w:color="000000" w:sz="2" w:space="0"/>
              <w:right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tcBorders>
            <w:vAlign w:val="center"/>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505" w:type="dxa"/>
            <w:vMerge w:val="restart"/>
            <w:tcBorders>
              <w:top w:val="single" w:color="000000" w:sz="2" w:space="0"/>
              <w:right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购置中外文新书</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8万册</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8万册</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continue"/>
            <w:tcBorders>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续订2022年纸质外文期刊</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2种</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2种</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continue"/>
            <w:tcBorders>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续订2022年纸质中文期刊</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420种</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420种</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continue"/>
            <w:tcBorders>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续订2022年报纸</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46种</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46种</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continue"/>
            <w:tcBorders>
              <w:bottom w:val="single" w:color="000000" w:sz="2" w:space="0"/>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续订2021年数据库</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25个</w:t>
            </w: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restart"/>
            <w:tcBorders>
              <w:top w:val="single" w:color="000000" w:sz="2"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外文期刊为正规出版物，从政府采购中标单位中购置</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外文期刊为正规出版物，从政府采购中标单位中购置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中文期刊为国家正规出版物，从政府采购中标单位中购置</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09" w:type="dxa"/>
            <w:tcBorders>
              <w:top w:val="single" w:color="000000" w:sz="2" w:space="0"/>
              <w:bottom w:val="single" w:color="000000" w:sz="2"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中文期刊为国家正规出版物，从政府采购中标单位中购置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报纸为国家正规出版物，从邮局订购</w:t>
            </w:r>
          </w:p>
        </w:tc>
        <w:tc>
          <w:tcPr>
            <w:tcW w:w="1036" w:type="dxa"/>
            <w:tcBorders>
              <w:top w:val="single" w:color="000000" w:sz="2" w:space="0"/>
              <w:bottom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09" w:type="dxa"/>
            <w:tcBorders>
              <w:top w:val="single" w:color="000000" w:sz="2" w:space="0"/>
              <w:bottom w:val="single" w:color="auto" w:sz="4" w:space="0"/>
              <w:right w:val="single" w:color="auto" w:sz="4"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报纸为国家正规出版物，从邮局订购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auto" w:sz="4"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数据库保证知识版权、平台使用流畅、界面友好</w:t>
            </w:r>
          </w:p>
        </w:tc>
        <w:tc>
          <w:tcPr>
            <w:tcW w:w="1036" w:type="dxa"/>
            <w:tcBorders>
              <w:top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09" w:type="dxa"/>
            <w:tcBorders>
              <w:top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数据库保证知识版权、平台使用流畅、界面友好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right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left w:val="single" w:color="auto" w:sz="4"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图书为国家正规出版物，从政府采购中标单位中购置</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图书为国家正规出版物，从政府采购中标单位中购置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restart"/>
            <w:tcBorders>
              <w:top w:val="single" w:color="auto" w:sz="4" w:space="0"/>
              <w:bottom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7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及时补充完善当年出版新书</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及时补充完善当年出版新书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及时补充完善当年期刊、报纸</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p>
            <w:pPr>
              <w:spacing w:line="320" w:lineRule="exact"/>
              <w:jc w:val="center"/>
              <w:rPr>
                <w:rFonts w:asciiTheme="minorEastAsia" w:hAnsiTheme="minorEastAsia" w:eastAsiaTheme="minorEastAsia" w:cstheme="minorEastAsia"/>
                <w:szCs w:val="21"/>
              </w:rPr>
            </w:pP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及时补充完善当年期刊、报纸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保证数据库正常使用</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保证数据库正常使用</w:t>
            </w: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保证数据库正常使用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restart"/>
            <w:tcBorders>
              <w:top w:val="single" w:color="auto" w:sz="4" w:space="0"/>
              <w:bottom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7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投资控制达标率</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0.95</w:t>
            </w: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single" w:color="auto" w:sz="4" w:space="0"/>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采购成本</w:t>
            </w:r>
          </w:p>
        </w:tc>
        <w:tc>
          <w:tcPr>
            <w:tcW w:w="1036"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871.8</w:t>
            </w:r>
          </w:p>
        </w:tc>
        <w:tc>
          <w:tcPr>
            <w:tcW w:w="170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single" w:color="auto" w:sz="4" w:space="0"/>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auto" w:sz="4" w:space="0"/>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505" w:type="dxa"/>
            <w:tcBorders>
              <w:top w:val="single" w:color="auto" w:sz="4"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本项目未涉及直接经济效益，以完善馆藏资源、提高学院教学、科研、医疗的文献保障率为间接经济效益</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提高馆藏质量与数量，提升生均图书册书办学指标</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提高馆藏质量与数量，提升生均图书册书办学指标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完善学院馆藏资源、提高学院教学、科研、医疗的文献保障率</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为教学、科研、管理、医疗提供信息服务保障</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为教学、科研、管理、医疗提供信息服务保障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完成生均进书3册</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达到生均年进书考核标准</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达到生均年进书考核标准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restart"/>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书刊资源</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≥20年</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left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p>
        </w:tc>
        <w:tc>
          <w:tcPr>
            <w:tcW w:w="1259" w:type="dxa"/>
            <w:vMerge w:val="continue"/>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远程及平台数据库使用年限</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≥1年</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left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bottom w:val="single" w:color="000000" w:sz="2" w:space="0"/>
            </w:tcBorders>
          </w:tcPr>
          <w:p>
            <w:pPr>
              <w:spacing w:line="320" w:lineRule="exact"/>
              <w:jc w:val="center"/>
              <w:rPr>
                <w:rFonts w:ascii="仿宋_GB2312" w:hAnsi="仿宋_GB2312" w:eastAsia="仿宋_GB2312" w:cs="仿宋_GB2312"/>
                <w:sz w:val="28"/>
                <w:szCs w:val="28"/>
              </w:rPr>
            </w:pPr>
          </w:p>
        </w:tc>
        <w:tc>
          <w:tcPr>
            <w:tcW w:w="1505" w:type="dxa"/>
            <w:vMerge w:val="continue"/>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镜像数据库</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≥10年</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left w:val="single" w:color="auto" w:sz="4" w:space="0"/>
              <w:bottom w:val="single" w:color="000000" w:sz="2" w:space="0"/>
            </w:tcBorders>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 度指标</w:t>
            </w:r>
          </w:p>
        </w:tc>
        <w:tc>
          <w:tcPr>
            <w:tcW w:w="1505"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服务对象满意度</w:t>
            </w:r>
          </w:p>
        </w:tc>
        <w:tc>
          <w:tcPr>
            <w:tcW w:w="1036"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c>
          <w:tcPr>
            <w:tcW w:w="170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r>
    </w:tbl>
    <w:p>
      <w:pPr>
        <w:pStyle w:val="2"/>
        <w:spacing w:before="93"/>
      </w:pPr>
    </w:p>
    <w:p/>
    <w:p/>
    <w:p/>
    <w:p>
      <w:pPr>
        <w:pStyle w:val="2"/>
        <w:spacing w:before="93"/>
      </w:pPr>
    </w:p>
    <w:tbl>
      <w:tblPr>
        <w:tblStyle w:val="31"/>
        <w:tblpPr w:leftFromText="180" w:rightFromText="180" w:vertAnchor="text" w:horzAnchor="page" w:tblpX="1299" w:tblpY="318"/>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752"/>
        <w:gridCol w:w="1200"/>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550"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20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2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752"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1300</w:t>
            </w:r>
          </w:p>
        </w:tc>
        <w:tc>
          <w:tcPr>
            <w:tcW w:w="120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2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1244.34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752"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600</w:t>
            </w:r>
          </w:p>
          <w:p>
            <w:pPr>
              <w:spacing w:line="320" w:lineRule="exact"/>
              <w:jc w:val="center"/>
              <w:rPr>
                <w:rFonts w:ascii="仿宋_GB2312" w:hAnsi="仿宋_GB2312" w:eastAsia="仿宋_GB2312" w:cs="仿宋_GB2312"/>
                <w:sz w:val="28"/>
                <w:szCs w:val="28"/>
              </w:rPr>
            </w:pPr>
          </w:p>
        </w:tc>
        <w:tc>
          <w:tcPr>
            <w:tcW w:w="120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442" w:type="dxa"/>
            <w:gridSpan w:val="2"/>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752"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700</w:t>
            </w:r>
          </w:p>
        </w:tc>
        <w:tc>
          <w:tcPr>
            <w:tcW w:w="120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644.34</w:t>
            </w:r>
          </w:p>
          <w:p>
            <w:pPr>
              <w:spacing w:line="32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809" w:type="dxa"/>
            <w:gridSpan w:val="3"/>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418"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4809" w:type="dxa"/>
            <w:gridSpan w:val="3"/>
            <w:tcBorders>
              <w:top w:val="single" w:color="000000" w:sz="2" w:space="0"/>
              <w:bottom w:val="single" w:color="000000" w:sz="2" w:space="0"/>
            </w:tcBorders>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的总体目标是建成一个优秀实验、实训室体系，提供优良的教学、科研实验环境，通过开展实验教学，全面提高学生的实践能力、创新能力，同时为本校学生培养和教师的科研提供条件，为培养新时代国家经济建设和社会发展需求的高素质人才创造条件和提供保障。</w:t>
            </w:r>
          </w:p>
        </w:tc>
        <w:tc>
          <w:tcPr>
            <w:tcW w:w="2418" w:type="dxa"/>
            <w:gridSpan w:val="2"/>
            <w:tcBorders>
              <w:top w:val="single" w:color="000000" w:sz="2" w:space="0"/>
              <w:bottom w:val="single" w:color="000000" w:sz="2" w:space="0"/>
            </w:tcBorders>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供优良的教学、科研实验环境，通过开展实验教学，全面提高学生的实践能力、创新能力，同时为本校学生培养和教师的科研提供条件，为培养新时代国家经济建设和社会发展需求的高素质人才创造条件和提供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left w:val="single" w:color="auto" w:sz="4"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52"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0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21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752"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实验材料购置金额达到计划要求。</w:t>
            </w:r>
          </w:p>
        </w:tc>
        <w:tc>
          <w:tcPr>
            <w:tcW w:w="120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截止12月31日采购金额</w:t>
            </w:r>
          </w:p>
        </w:tc>
        <w:tc>
          <w:tcPr>
            <w:tcW w:w="12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1244.34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752"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采购材料验收合格率</w:t>
            </w:r>
          </w:p>
        </w:tc>
        <w:tc>
          <w:tcPr>
            <w:tcW w:w="120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材料验收合格率100%</w:t>
            </w:r>
          </w:p>
        </w:tc>
        <w:tc>
          <w:tcPr>
            <w:tcW w:w="12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材料验收合格率100%</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752"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年度内完成采购计划</w:t>
            </w:r>
          </w:p>
        </w:tc>
        <w:tc>
          <w:tcPr>
            <w:tcW w:w="120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截止12月31日采购完成数量</w:t>
            </w:r>
          </w:p>
        </w:tc>
        <w:tc>
          <w:tcPr>
            <w:tcW w:w="121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年度内完成采购计划</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752"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严格按照学校相关管理办法进行采购，相关职能部门管理、监督，控制成本。</w:t>
            </w:r>
          </w:p>
        </w:tc>
        <w:tc>
          <w:tcPr>
            <w:tcW w:w="120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总分10分</w:t>
            </w:r>
          </w:p>
        </w:tc>
        <w:tc>
          <w:tcPr>
            <w:tcW w:w="12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752"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本项目未涉及直接经济效益，以改善学生实验及实训室条件，提升学生综合素质，提高学校办学能力为间接经济效益。</w:t>
            </w:r>
          </w:p>
        </w:tc>
        <w:tc>
          <w:tcPr>
            <w:tcW w:w="120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总分5分</w:t>
            </w:r>
          </w:p>
        </w:tc>
        <w:tc>
          <w:tcPr>
            <w:tcW w:w="121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auto" w:sz="4" w:space="0"/>
            </w:tcBorders>
          </w:tcPr>
          <w:p>
            <w:pPr>
              <w:spacing w:line="320" w:lineRule="exact"/>
              <w:jc w:val="center"/>
              <w:rPr>
                <w:rFonts w:ascii="仿宋_GB2312" w:hAnsi="仿宋_GB2312" w:eastAsia="仿宋_GB2312" w:cs="仿宋_GB2312"/>
                <w:sz w:val="28"/>
                <w:szCs w:val="28"/>
              </w:rPr>
            </w:pPr>
          </w:p>
        </w:tc>
        <w:tc>
          <w:tcPr>
            <w:tcW w:w="1798" w:type="dxa"/>
            <w:vMerge w:val="restart"/>
            <w:tcBorders>
              <w:top w:val="single" w:color="000000" w:sz="2" w:space="0"/>
              <w:bottom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752" w:type="dxa"/>
            <w:tcBorders>
              <w:top w:val="single" w:color="000000" w:sz="2" w:space="0"/>
              <w:bottom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学生完成实践教学、实训内容。</w:t>
            </w:r>
          </w:p>
        </w:tc>
        <w:tc>
          <w:tcPr>
            <w:tcW w:w="1200" w:type="dxa"/>
            <w:tcBorders>
              <w:top w:val="single" w:color="000000" w:sz="2" w:space="0"/>
              <w:bottom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总分10分</w:t>
            </w:r>
          </w:p>
        </w:tc>
        <w:tc>
          <w:tcPr>
            <w:tcW w:w="1218" w:type="dxa"/>
            <w:tcBorders>
              <w:top w:val="single" w:color="000000" w:sz="2" w:space="0"/>
              <w:bottom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single" w:color="auto" w:sz="4" w:space="0"/>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bottom w:val="nil"/>
            </w:tcBorders>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auto" w:sz="4" w:space="0"/>
              <w:bottom w:val="single" w:color="000000" w:sz="2" w:space="0"/>
            </w:tcBorders>
            <w:vAlign w:val="center"/>
          </w:tcPr>
          <w:p>
            <w:pPr>
              <w:spacing w:line="320" w:lineRule="exact"/>
              <w:jc w:val="center"/>
              <w:rPr>
                <w:rFonts w:ascii="仿宋_GB2312" w:hAnsi="仿宋_GB2312" w:eastAsia="仿宋_GB2312" w:cs="仿宋_GB2312"/>
                <w:sz w:val="28"/>
                <w:szCs w:val="28"/>
              </w:rPr>
            </w:pPr>
          </w:p>
        </w:tc>
        <w:tc>
          <w:tcPr>
            <w:tcW w:w="1752" w:type="dxa"/>
            <w:tcBorders>
              <w:top w:val="single" w:color="auto" w:sz="4"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满足学校科研基本运行材料需要。</w:t>
            </w:r>
          </w:p>
        </w:tc>
        <w:tc>
          <w:tcPr>
            <w:tcW w:w="1200" w:type="dxa"/>
            <w:tcBorders>
              <w:top w:val="single" w:color="auto" w:sz="4"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总分10分</w:t>
            </w:r>
          </w:p>
        </w:tc>
        <w:tc>
          <w:tcPr>
            <w:tcW w:w="1218" w:type="dxa"/>
            <w:tcBorders>
              <w:top w:val="single" w:color="auto" w:sz="4" w:space="0"/>
              <w:bottom w:val="single" w:color="000000" w:sz="2" w:space="0"/>
              <w:right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752"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实验材料符合国家生态环保要求。</w:t>
            </w:r>
          </w:p>
        </w:tc>
        <w:tc>
          <w:tcPr>
            <w:tcW w:w="120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总分5分</w:t>
            </w:r>
          </w:p>
        </w:tc>
        <w:tc>
          <w:tcPr>
            <w:tcW w:w="1218" w:type="dxa"/>
            <w:tcBorders>
              <w:top w:val="single" w:color="000000" w:sz="2" w:space="0"/>
              <w:bottom w:val="single" w:color="000000" w:sz="2" w:space="0"/>
              <w:right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left w:val="single" w:color="auto" w:sz="4" w:space="0"/>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752"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通过实验及实训室相关建设，提升学生综合能力。</w:t>
            </w:r>
          </w:p>
        </w:tc>
        <w:tc>
          <w:tcPr>
            <w:tcW w:w="120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总分10分</w:t>
            </w:r>
          </w:p>
        </w:tc>
        <w:tc>
          <w:tcPr>
            <w:tcW w:w="1218" w:type="dxa"/>
            <w:tcBorders>
              <w:top w:val="single" w:color="000000" w:sz="2" w:space="0"/>
              <w:bottom w:val="single" w:color="000000" w:sz="2" w:space="0"/>
              <w:right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left w:val="single" w:color="auto" w:sz="4" w:space="0"/>
              <w:bottom w:val="single" w:color="auto" w:sz="4" w:space="0"/>
            </w:tcBorders>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 度指标</w:t>
            </w:r>
          </w:p>
        </w:tc>
        <w:tc>
          <w:tcPr>
            <w:tcW w:w="1798" w:type="dxa"/>
            <w:tcBorders>
              <w:top w:val="single" w:color="000000" w:sz="2" w:space="0"/>
              <w:bottom w:val="single" w:color="auto" w:sz="4"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52" w:type="dxa"/>
            <w:tcBorders>
              <w:top w:val="single" w:color="000000" w:sz="2" w:space="0"/>
              <w:bottom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服务对象满意度</w:t>
            </w:r>
          </w:p>
        </w:tc>
        <w:tc>
          <w:tcPr>
            <w:tcW w:w="1200" w:type="dxa"/>
            <w:tcBorders>
              <w:top w:val="single" w:color="000000" w:sz="2" w:space="0"/>
              <w:bottom w:val="single" w:color="auto" w:sz="4"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c>
          <w:tcPr>
            <w:tcW w:w="1218" w:type="dxa"/>
            <w:tcBorders>
              <w:top w:val="single" w:color="000000" w:sz="2" w:space="0"/>
              <w:bottom w:val="single" w:color="auto" w:sz="4" w:space="0"/>
              <w:right w:val="single" w:color="auto" w:sz="4" w:space="0"/>
            </w:tcBorders>
          </w:tcPr>
          <w:p>
            <w:pPr>
              <w:spacing w:line="320" w:lineRule="exact"/>
              <w:jc w:val="center"/>
              <w:rPr>
                <w:rFonts w:asciiTheme="minorEastAsia" w:hAnsiTheme="minorEastAsia" w:eastAsiaTheme="minorEastAsia" w:cstheme="minorEastAsia"/>
                <w:szCs w:val="21"/>
              </w:rPr>
            </w:pPr>
          </w:p>
        </w:tc>
      </w:tr>
    </w:tbl>
    <w:p>
      <w:pPr>
        <w:spacing w:line="320" w:lineRule="exact"/>
        <w:jc w:val="cente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tbl>
      <w:tblPr>
        <w:tblStyle w:val="31"/>
        <w:tblpPr w:leftFromText="180" w:rightFromText="180" w:vertAnchor="text" w:horzAnchor="page" w:tblpX="1819" w:tblpY="621"/>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601"/>
        <w:gridCol w:w="1758"/>
        <w:gridCol w:w="1310"/>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359"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31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29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75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2456</w:t>
            </w:r>
          </w:p>
        </w:tc>
        <w:tc>
          <w:tcPr>
            <w:tcW w:w="131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29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442" w:type="dxa"/>
            <w:gridSpan w:val="2"/>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75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2456</w:t>
            </w:r>
          </w:p>
        </w:tc>
        <w:tc>
          <w:tcPr>
            <w:tcW w:w="131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9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75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31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9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618" w:type="dxa"/>
            <w:gridSpan w:val="3"/>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609" w:type="dxa"/>
            <w:gridSpan w:val="2"/>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183"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4618" w:type="dxa"/>
            <w:gridSpan w:val="3"/>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本专科、研究生、留学生奖助学金的足额、准确、及时发放</w:t>
            </w:r>
          </w:p>
        </w:tc>
        <w:tc>
          <w:tcPr>
            <w:tcW w:w="2609" w:type="dxa"/>
            <w:gridSpan w:val="2"/>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本专科、研究生、留学生奖助学金的足额、准确、及时发放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58"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310"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29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601" w:type="dxa"/>
            <w:tcBorders>
              <w:top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75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本校本专科、研究生、留学生奖助学金的足额发放</w:t>
            </w:r>
          </w:p>
        </w:tc>
        <w:tc>
          <w:tcPr>
            <w:tcW w:w="131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足额发放</w:t>
            </w:r>
          </w:p>
          <w:p>
            <w:pPr>
              <w:spacing w:line="320" w:lineRule="exact"/>
              <w:jc w:val="center"/>
              <w:rPr>
                <w:rFonts w:asciiTheme="minorEastAsia" w:hAnsiTheme="minorEastAsia" w:eastAsiaTheme="minorEastAsia" w:cstheme="minorEastAsia"/>
                <w:szCs w:val="21"/>
              </w:rPr>
            </w:pPr>
          </w:p>
        </w:tc>
        <w:tc>
          <w:tcPr>
            <w:tcW w:w="129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足额发放</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75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本校本专科、研究生、留学生奖助学金的准确发放</w:t>
            </w:r>
          </w:p>
        </w:tc>
        <w:tc>
          <w:tcPr>
            <w:tcW w:w="131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准确发放</w:t>
            </w:r>
          </w:p>
          <w:p>
            <w:pPr>
              <w:spacing w:line="320" w:lineRule="exact"/>
              <w:jc w:val="center"/>
              <w:rPr>
                <w:rFonts w:asciiTheme="minorEastAsia" w:hAnsiTheme="minorEastAsia" w:eastAsiaTheme="minorEastAsia" w:cstheme="minorEastAsia"/>
                <w:szCs w:val="21"/>
              </w:rPr>
            </w:pPr>
          </w:p>
        </w:tc>
        <w:tc>
          <w:tcPr>
            <w:tcW w:w="129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准确发放</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75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本校本专科、研究生、留学生奖助学金的及时发放。</w:t>
            </w:r>
          </w:p>
        </w:tc>
        <w:tc>
          <w:tcPr>
            <w:tcW w:w="131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及时发放</w:t>
            </w:r>
          </w:p>
          <w:p>
            <w:pPr>
              <w:spacing w:line="320" w:lineRule="exact"/>
              <w:jc w:val="center"/>
              <w:rPr>
                <w:rFonts w:asciiTheme="minorEastAsia" w:hAnsiTheme="minorEastAsia" w:eastAsiaTheme="minorEastAsia" w:cstheme="minorEastAsia"/>
                <w:szCs w:val="21"/>
              </w:rPr>
            </w:pPr>
          </w:p>
        </w:tc>
        <w:tc>
          <w:tcPr>
            <w:tcW w:w="129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及时发放</w:t>
            </w:r>
          </w:p>
          <w:p>
            <w:pPr>
              <w:spacing w:line="320" w:lineRule="exact"/>
              <w:jc w:val="center"/>
              <w:rPr>
                <w:rFonts w:asciiTheme="minorEastAsia" w:hAnsiTheme="minorEastAsia" w:eastAsiaTheme="minorEastAsia" w:cs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758"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c>
          <w:tcPr>
            <w:tcW w:w="1310"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c>
          <w:tcPr>
            <w:tcW w:w="1299" w:type="dxa"/>
            <w:tcBorders>
              <w:top w:val="single" w:color="000000" w:sz="2" w:space="0"/>
              <w:bottom w:val="single" w:color="000000" w:sz="2" w:space="0"/>
            </w:tcBorders>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601"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75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该项目无经济效益指标</w:t>
            </w:r>
          </w:p>
        </w:tc>
        <w:tc>
          <w:tcPr>
            <w:tcW w:w="131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该项目无经济效益指标</w:t>
            </w:r>
          </w:p>
        </w:tc>
        <w:tc>
          <w:tcPr>
            <w:tcW w:w="129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该项目无经济效益指标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75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提升本校社会影响力</w:t>
            </w:r>
          </w:p>
        </w:tc>
        <w:tc>
          <w:tcPr>
            <w:tcW w:w="131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提升本校社会影响力</w:t>
            </w:r>
          </w:p>
        </w:tc>
        <w:tc>
          <w:tcPr>
            <w:tcW w:w="129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提升本校社会影响力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75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该项目无生态指标</w:t>
            </w:r>
          </w:p>
        </w:tc>
        <w:tc>
          <w:tcPr>
            <w:tcW w:w="131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该项目无生态指标</w:t>
            </w:r>
          </w:p>
        </w:tc>
        <w:tc>
          <w:tcPr>
            <w:tcW w:w="129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该项目无生态指标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601" w:type="dxa"/>
            <w:tcBorders>
              <w:top w:val="single" w:color="000000" w:sz="2" w:space="0"/>
              <w:bottom w:val="single" w:color="000000" w:sz="2"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75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让本校学生能够及时得到资助，保证学业的顺利完成</w:t>
            </w:r>
          </w:p>
        </w:tc>
        <w:tc>
          <w:tcPr>
            <w:tcW w:w="131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保证本校学生学业的顺利完成</w:t>
            </w:r>
          </w:p>
        </w:tc>
        <w:tc>
          <w:tcPr>
            <w:tcW w:w="129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保证本校学生学业的顺利完成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 度指标</w:t>
            </w:r>
          </w:p>
        </w:tc>
        <w:tc>
          <w:tcPr>
            <w:tcW w:w="1601" w:type="dxa"/>
            <w:tcBorders>
              <w:top w:val="single" w:color="000000" w:sz="2" w:space="0"/>
              <w:bottom w:val="single" w:color="000000" w:sz="2" w:space="0"/>
            </w:tcBorders>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58"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学生满意度</w:t>
            </w:r>
          </w:p>
        </w:tc>
        <w:tc>
          <w:tcPr>
            <w:tcW w:w="1310"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大于90%</w:t>
            </w:r>
          </w:p>
        </w:tc>
        <w:tc>
          <w:tcPr>
            <w:tcW w:w="1299" w:type="dxa"/>
            <w:tcBorders>
              <w:top w:val="single" w:color="000000" w:sz="2" w:space="0"/>
              <w:bottom w:val="single" w:color="000000" w:sz="2" w:space="0"/>
            </w:tcBorders>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大于90%</w:t>
            </w:r>
          </w:p>
        </w:tc>
      </w:tr>
    </w:tbl>
    <w:p>
      <w:pPr>
        <w:pStyle w:val="2"/>
        <w:spacing w:before="93"/>
      </w:pPr>
    </w:p>
    <w:p>
      <w:pPr>
        <w:pStyle w:val="2"/>
        <w:spacing w:before="93"/>
      </w:pPr>
    </w:p>
    <w:p>
      <w:pPr>
        <w:pStyle w:val="2"/>
        <w:spacing w:before="93"/>
      </w:pPr>
    </w:p>
    <w:tbl>
      <w:tblPr>
        <w:tblStyle w:val="31"/>
        <w:tblpPr w:leftFromText="180" w:rightFromText="180" w:vertAnchor="text" w:horzAnchor="page" w:tblpX="1319" w:tblpY="199"/>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301"/>
        <w:gridCol w:w="1940"/>
        <w:gridCol w:w="1380"/>
        <w:gridCol w:w="1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24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38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34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30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94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143.5</w:t>
            </w:r>
          </w:p>
        </w:tc>
        <w:tc>
          <w:tcPr>
            <w:tcW w:w="138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34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94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38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34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30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94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143.5</w:t>
            </w:r>
          </w:p>
        </w:tc>
        <w:tc>
          <w:tcPr>
            <w:tcW w:w="138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34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500"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72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500" w:type="dxa"/>
            <w:gridSpan w:val="3"/>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学校对外合作交流的需要，为推动学校对外合作交流项目，2021度我校继续跟美国、英国、加拿大、德国、台湾、东南亚等一带一路国家大学及科研机构交流合作，计划派出20多位学校师资赴国（境）外参会、交流、培训、研修、科研合作等，一方面提高我院师资的双语教学能力，另一方面加强学术和科研方面的交流合作，进一步提升我院的国际影响力，推动我校教育国际化步伐。</w:t>
            </w:r>
          </w:p>
        </w:tc>
        <w:tc>
          <w:tcPr>
            <w:tcW w:w="2727" w:type="dxa"/>
            <w:gridSpan w:val="2"/>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因疫情影响，交流学习合作执行较差。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30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94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38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34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301"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通过国家留金委、外专局项目计划派出</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3人</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因疫情，少量完成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301" w:type="dxa"/>
            <w:vMerge w:val="continue"/>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校级合作渠道计划派出</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12人</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因疫情，少量完成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vMerge w:val="continue"/>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个人联系渠道</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7人</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语言能力的提升</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vMerge w:val="continue"/>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科研和学术能力提升</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vMerge w:val="continue"/>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加强师资国际意识，提升学校国际影响力</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01"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学术交流、参会短期（7天以内）</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95%</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301" w:type="dxa"/>
            <w:vMerge w:val="continue"/>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科研人才中长期培养（半年以上）</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301" w:type="dxa"/>
            <w:vMerge w:val="continue"/>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语言能力的提升3个月以上</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auto" w:sz="4" w:space="0"/>
            </w:tcBorders>
            <w:noWrap/>
          </w:tcPr>
          <w:p>
            <w:pPr>
              <w:spacing w:line="320" w:lineRule="exact"/>
              <w:jc w:val="center"/>
              <w:rPr>
                <w:rFonts w:ascii="仿宋_GB2312" w:hAnsi="仿宋_GB2312" w:eastAsia="仿宋_GB2312" w:cs="仿宋_GB2312"/>
                <w:sz w:val="28"/>
                <w:szCs w:val="28"/>
              </w:rPr>
            </w:pPr>
          </w:p>
        </w:tc>
        <w:tc>
          <w:tcPr>
            <w:tcW w:w="1301" w:type="dxa"/>
            <w:tcBorders>
              <w:top w:val="single" w:color="000000" w:sz="2" w:space="0"/>
              <w:bottom w:val="single" w:color="auto" w:sz="4"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940" w:type="dxa"/>
            <w:tcBorders>
              <w:top w:val="single" w:color="000000" w:sz="2" w:space="0"/>
              <w:bottom w:val="single" w:color="auto" w:sz="4" w:space="0"/>
            </w:tcBorders>
            <w:noWrap/>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人才培养成本</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65000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auto" w:sz="4" w:space="0"/>
              <w:left w:val="single" w:color="auto" w:sz="4" w:space="0"/>
              <w:bottom w:val="single" w:color="auto" w:sz="4"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益</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301" w:type="dxa"/>
            <w:tcBorders>
              <w:top w:val="single" w:color="auto" w:sz="4" w:space="0"/>
              <w:bottom w:val="single" w:color="auto" w:sz="4"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940" w:type="dxa"/>
            <w:tcBorders>
              <w:top w:val="single" w:color="auto" w:sz="4" w:space="0"/>
              <w:bottom w:val="single" w:color="auto" w:sz="4" w:space="0"/>
              <w:right w:val="single" w:color="auto" w:sz="4"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此项目跟生态效益表面看没有直接的联系，但是对外合作交流项目利于学习国外先进的科研、技术和管理理念，回国后不断创新，利用新的理念解决问题，在医学领域实现更多的环保节能，长远看可获得生态效益</w:t>
            </w:r>
          </w:p>
        </w:tc>
        <w:tc>
          <w:tcPr>
            <w:tcW w:w="1380" w:type="dxa"/>
            <w:tcBorders>
              <w:top w:val="single" w:color="000000" w:sz="2" w:space="0"/>
              <w:left w:val="single" w:color="auto" w:sz="4"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auto" w:sz="4" w:space="0"/>
              <w:left w:val="single" w:color="auto" w:sz="4" w:space="0"/>
              <w:bottom w:val="nil"/>
            </w:tcBorders>
            <w:noWrap/>
            <w:vAlign w:val="center"/>
          </w:tcPr>
          <w:p>
            <w:pPr>
              <w:spacing w:line="320" w:lineRule="exact"/>
              <w:jc w:val="center"/>
              <w:rPr>
                <w:rFonts w:ascii="仿宋_GB2312" w:hAnsi="仿宋_GB2312" w:eastAsia="仿宋_GB2312" w:cs="仿宋_GB2312"/>
                <w:sz w:val="28"/>
                <w:szCs w:val="28"/>
              </w:rPr>
            </w:pPr>
          </w:p>
        </w:tc>
        <w:tc>
          <w:tcPr>
            <w:tcW w:w="1301" w:type="dxa"/>
            <w:vMerge w:val="restart"/>
            <w:tcBorders>
              <w:top w:val="single" w:color="auto" w:sz="4"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940" w:type="dxa"/>
            <w:tcBorders>
              <w:top w:val="single" w:color="auto" w:sz="4"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双语师资可长期使用</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left w:val="single" w:color="auto" w:sz="4" w:space="0"/>
              <w:bottom w:val="nil"/>
            </w:tcBorders>
            <w:noWrap/>
            <w:vAlign w:val="center"/>
          </w:tcPr>
          <w:p>
            <w:pPr>
              <w:spacing w:line="320" w:lineRule="exact"/>
              <w:jc w:val="center"/>
              <w:rPr>
                <w:rFonts w:ascii="仿宋_GB2312" w:hAnsi="仿宋_GB2312" w:eastAsia="仿宋_GB2312" w:cs="仿宋_GB2312"/>
                <w:sz w:val="28"/>
                <w:szCs w:val="28"/>
              </w:rPr>
            </w:pPr>
          </w:p>
        </w:tc>
        <w:tc>
          <w:tcPr>
            <w:tcW w:w="1301"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科研学术人才可长期使用</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left w:val="single" w:color="auto" w:sz="4" w:space="0"/>
              <w:bottom w:val="nil"/>
            </w:tcBorders>
            <w:noWrap/>
            <w:vAlign w:val="center"/>
          </w:tcPr>
          <w:p>
            <w:pPr>
              <w:spacing w:line="320" w:lineRule="exact"/>
              <w:jc w:val="center"/>
              <w:rPr>
                <w:rFonts w:ascii="仿宋_GB2312" w:hAnsi="仿宋_GB2312" w:eastAsia="仿宋_GB2312" w:cs="仿宋_GB2312"/>
                <w:sz w:val="28"/>
                <w:szCs w:val="28"/>
              </w:rPr>
            </w:pPr>
          </w:p>
        </w:tc>
        <w:tc>
          <w:tcPr>
            <w:tcW w:w="1301"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推动我院学科、科研和学术建设长期可持续发展</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left w:val="single" w:color="auto" w:sz="4" w:space="0"/>
              <w:bottom w:val="nil"/>
            </w:tcBorders>
            <w:noWrap/>
            <w:vAlign w:val="center"/>
          </w:tcPr>
          <w:p>
            <w:pPr>
              <w:spacing w:line="320" w:lineRule="exact"/>
              <w:jc w:val="center"/>
              <w:rPr>
                <w:rFonts w:ascii="仿宋_GB2312" w:hAnsi="仿宋_GB2312" w:eastAsia="仿宋_GB2312" w:cs="仿宋_GB2312"/>
                <w:sz w:val="28"/>
                <w:szCs w:val="28"/>
              </w:rPr>
            </w:pPr>
          </w:p>
        </w:tc>
        <w:tc>
          <w:tcPr>
            <w:tcW w:w="1301"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本项目未直接涉及经济效益，但是为推动我院医学留学生项目和学院一流学科的建设有非常重要的作用</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right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259" w:type="dxa"/>
            <w:vMerge w:val="continue"/>
            <w:tcBorders>
              <w:top w:val="nil"/>
              <w:left w:val="single" w:color="auto" w:sz="4"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301"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因为地域劣势，我院对外交流意识弱，项目开展困难，积极推动对外合作交流项目对于提升师资的国际意识和学院的国际影响力有极大推动作用</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95%</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301"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94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为学院师资对外学习交流提供平台</w:t>
            </w:r>
          </w:p>
        </w:tc>
        <w:tc>
          <w:tcPr>
            <w:tcW w:w="1380"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347"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因疫情，未完成</w:t>
            </w:r>
          </w:p>
        </w:tc>
      </w:tr>
    </w:tbl>
    <w:p/>
    <w:p/>
    <w:p/>
    <w:p/>
    <w:p/>
    <w:p>
      <w:pPr>
        <w:pStyle w:val="2"/>
        <w:spacing w:before="93"/>
      </w:pPr>
    </w:p>
    <w:p>
      <w:pPr>
        <w:pStyle w:val="2"/>
        <w:spacing w:before="93"/>
      </w:pPr>
    </w:p>
    <w:p>
      <w:pPr>
        <w:pStyle w:val="2"/>
        <w:spacing w:before="93"/>
      </w:pPr>
    </w:p>
    <w:p>
      <w:pPr>
        <w:pStyle w:val="2"/>
        <w:spacing w:before="93"/>
      </w:pPr>
    </w:p>
    <w:p/>
    <w:tbl>
      <w:tblPr>
        <w:tblStyle w:val="31"/>
        <w:tblpPr w:leftFromText="180" w:rightFromText="180" w:vertAnchor="text" w:horzAnchor="page" w:tblpX="1319" w:tblpY="269"/>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507"/>
        <w:gridCol w:w="1150"/>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305"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15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50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3452</w:t>
            </w:r>
          </w:p>
        </w:tc>
        <w:tc>
          <w:tcPr>
            <w:tcW w:w="115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0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3452</w:t>
            </w:r>
          </w:p>
        </w:tc>
        <w:tc>
          <w:tcPr>
            <w:tcW w:w="115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0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15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564"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663"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564" w:type="dxa"/>
            <w:gridSpan w:val="3"/>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完成部门集中收入的上缴，主要用于保障校内人员工资及绩效等。</w:t>
            </w:r>
          </w:p>
        </w:tc>
        <w:tc>
          <w:tcPr>
            <w:tcW w:w="2663" w:type="dxa"/>
            <w:gridSpan w:val="2"/>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保障校内人员工资及绩效等。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50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15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教师事业持续发展</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提升教学质量</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及时发放</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及时发放</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该项目无成本指标。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发放校内人员工资及绩效等</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3452万元</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无直接经济效益</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无直接经济效益</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无直接经济效益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调动职工积极性，提升幸福感。</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调动职工积极性，提升幸福感。</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调动职工积极性，提升幸福感。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无生态效益</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无生态效益</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无生态效益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可持续年限</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一年</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 度指标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50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职工满意度</w:t>
            </w:r>
          </w:p>
        </w:tc>
        <w:tc>
          <w:tcPr>
            <w:tcW w:w="115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r>
    </w:tbl>
    <w:p>
      <w:pPr>
        <w:spacing w:line="320" w:lineRule="exact"/>
        <w:jc w:val="center"/>
        <w:rPr>
          <w:rFonts w:ascii="仿宋_GB2312" w:hAnsi="仿宋_GB2312" w:eastAsia="仿宋_GB2312" w:cs="仿宋_GB2312"/>
          <w:sz w:val="28"/>
          <w:szCs w:val="28"/>
        </w:rPr>
      </w:pPr>
    </w:p>
    <w:p/>
    <w:p/>
    <w:p>
      <w:pPr>
        <w:pStyle w:val="2"/>
        <w:spacing w:before="93"/>
      </w:pPr>
    </w:p>
    <w:p>
      <w:pPr>
        <w:pStyle w:val="2"/>
        <w:spacing w:before="93"/>
      </w:pPr>
    </w:p>
    <w:p>
      <w:pPr>
        <w:pStyle w:val="2"/>
        <w:spacing w:before="93"/>
      </w:pPr>
    </w:p>
    <w:tbl>
      <w:tblPr>
        <w:tblStyle w:val="31"/>
        <w:tblpPr w:leftFromText="180" w:rightFromText="180" w:vertAnchor="text" w:horzAnchor="page" w:tblpX="1809" w:tblpY="612"/>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954"/>
        <w:gridCol w:w="1365"/>
        <w:gridCol w:w="2445"/>
        <w:gridCol w:w="1232"/>
        <w:gridCol w:w="1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13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810"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232"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23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137"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36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244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3059</w:t>
            </w:r>
          </w:p>
        </w:tc>
        <w:tc>
          <w:tcPr>
            <w:tcW w:w="1232"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23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1821.29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137"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244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232"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3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137"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2445"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3059</w:t>
            </w:r>
          </w:p>
        </w:tc>
        <w:tc>
          <w:tcPr>
            <w:tcW w:w="1232"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3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1821.29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764"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463"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auto" w:sz="4" w:space="0"/>
            </w:tcBorders>
            <w:noWrap/>
          </w:tcPr>
          <w:p>
            <w:pPr>
              <w:spacing w:line="320" w:lineRule="exact"/>
              <w:jc w:val="center"/>
              <w:rPr>
                <w:rFonts w:ascii="仿宋_GB2312" w:hAnsi="仿宋_GB2312" w:eastAsia="仿宋_GB2312" w:cs="仿宋_GB2312"/>
                <w:sz w:val="28"/>
                <w:szCs w:val="28"/>
              </w:rPr>
            </w:pPr>
          </w:p>
        </w:tc>
        <w:tc>
          <w:tcPr>
            <w:tcW w:w="4764" w:type="dxa"/>
            <w:gridSpan w:val="3"/>
            <w:tcBorders>
              <w:top w:val="single" w:color="000000" w:sz="2" w:space="0"/>
              <w:bottom w:val="single" w:color="auto" w:sz="4"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1、对所有申报部门所申报的项目进行分类汇总，对项目进行初审并汇总，并邀请校内外专家进行评审； </w:t>
            </w:r>
          </w:p>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2、将评审结果报发展规划处对项目进行审查备案，包括对当年建议予以支持及建议部分支持项目，对建议调整完善后予以支持的项目纳入项目库；</w:t>
            </w:r>
          </w:p>
        </w:tc>
        <w:tc>
          <w:tcPr>
            <w:tcW w:w="2463" w:type="dxa"/>
            <w:gridSpan w:val="2"/>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1、对所有申报部门所申报的项目进行分类汇总，对项目进行初审并汇总，并邀请校内外专家进行评审； 2、将评审结果报发展规划处对项目进行审查备案，包括对当年建议予以支持及建议部分支持项目，对建议调整完善后予以支持的项目纳入项目库。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auto" w:sz="4" w:space="0"/>
              <w:left w:val="single" w:color="auto" w:sz="4" w:space="0"/>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954" w:type="dxa"/>
            <w:tcBorders>
              <w:top w:val="single" w:color="auto" w:sz="4"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365" w:type="dxa"/>
            <w:tcBorders>
              <w:top w:val="single" w:color="auto" w:sz="4"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2445" w:type="dxa"/>
            <w:tcBorders>
              <w:top w:val="single" w:color="auto" w:sz="4" w:space="0"/>
              <w:bottom w:val="single" w:color="000000" w:sz="2" w:space="0"/>
              <w:right w:val="single" w:color="auto" w:sz="4"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32" w:type="dxa"/>
            <w:tcBorders>
              <w:top w:val="single" w:color="000000" w:sz="2" w:space="0"/>
              <w:left w:val="single" w:color="auto" w:sz="4"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231"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365"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将评审结果报发展规划处对项目进行审查备案，包括对当年建议予以支持及建议部分支持项目，对建议调整完善后予以支持的项目纳入项目库；</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c>
          <w:tcPr>
            <w:tcW w:w="1231"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已纳入项目库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65" w:type="dxa"/>
            <w:vMerge w:val="continue"/>
            <w:tcBorders>
              <w:bottom w:val="single" w:color="000000" w:sz="2" w:space="0"/>
            </w:tcBorders>
            <w:noWrap/>
          </w:tcPr>
          <w:p>
            <w:pPr>
              <w:spacing w:line="320" w:lineRule="exact"/>
              <w:jc w:val="center"/>
              <w:rPr>
                <w:rFonts w:ascii="仿宋_GB2312" w:hAnsi="仿宋_GB2312" w:eastAsia="仿宋_GB2312" w:cs="仿宋_GB2312"/>
                <w:sz w:val="28"/>
                <w:szCs w:val="28"/>
              </w:rPr>
            </w:pP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对所有申报部门所申报的项目进行分类汇总，对项目进行初审并汇总，并邀请校内外专家进行评审；</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c>
          <w:tcPr>
            <w:tcW w:w="1231"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工作完成率</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c>
          <w:tcPr>
            <w:tcW w:w="1231"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完成2021年度校内专项（项目）资金预算支出</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12月31日前</w:t>
            </w:r>
          </w:p>
        </w:tc>
        <w:tc>
          <w:tcPr>
            <w:tcW w:w="1231"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预算资金内完成</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不超过3059万元</w:t>
            </w:r>
          </w:p>
        </w:tc>
        <w:tc>
          <w:tcPr>
            <w:tcW w:w="1231"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1821.29万元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restart"/>
            <w:tcBorders>
              <w:top w:val="single" w:color="000000" w:sz="2" w:space="0"/>
              <w:bottom w:val="nil"/>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益</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2445" w:type="dxa"/>
            <w:tcBorders>
              <w:top w:val="single" w:color="000000" w:sz="2" w:space="0"/>
              <w:bottom w:val="single" w:color="000000" w:sz="2"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通过项目建设，提升教学、科研、保障等工作的软硬件水平，为学校正常运作提供更有力的支撑。</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c>
          <w:tcPr>
            <w:tcW w:w="1231"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left w:val="single" w:color="auto" w:sz="4" w:space="0"/>
              <w:bottom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single" w:color="auto" w:sz="4" w:space="0"/>
            </w:tcBorders>
            <w:noWrap/>
            <w:vAlign w:val="center"/>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auto" w:sz="4"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2445" w:type="dxa"/>
            <w:tcBorders>
              <w:top w:val="single" w:color="000000" w:sz="2" w:space="0"/>
              <w:bottom w:val="single" w:color="auto" w:sz="4" w:space="0"/>
              <w:right w:val="single" w:color="auto" w:sz="4"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提高广大教职工的满意度</w:t>
            </w:r>
          </w:p>
        </w:tc>
        <w:tc>
          <w:tcPr>
            <w:tcW w:w="1232" w:type="dxa"/>
            <w:tcBorders>
              <w:top w:val="single" w:color="000000" w:sz="2" w:space="0"/>
              <w:left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c>
          <w:tcPr>
            <w:tcW w:w="1231"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top w:val="single" w:color="auto" w:sz="4" w:space="0"/>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single" w:color="auto" w:sz="4" w:space="0"/>
              <w:bottom w:val="nil"/>
            </w:tcBorders>
            <w:noWrap/>
            <w:vAlign w:val="center"/>
          </w:tcPr>
          <w:p>
            <w:pPr>
              <w:spacing w:line="320" w:lineRule="exact"/>
              <w:jc w:val="center"/>
              <w:rPr>
                <w:rFonts w:ascii="仿宋_GB2312" w:hAnsi="仿宋_GB2312" w:eastAsia="仿宋_GB2312" w:cs="仿宋_GB2312"/>
                <w:sz w:val="28"/>
                <w:szCs w:val="28"/>
              </w:rPr>
            </w:pPr>
          </w:p>
        </w:tc>
        <w:tc>
          <w:tcPr>
            <w:tcW w:w="1365" w:type="dxa"/>
            <w:tcBorders>
              <w:top w:val="single" w:color="auto" w:sz="4"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2445" w:type="dxa"/>
            <w:tcBorders>
              <w:top w:val="single" w:color="auto" w:sz="4"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减少污染，降低能耗。</w:t>
            </w:r>
          </w:p>
        </w:tc>
        <w:tc>
          <w:tcPr>
            <w:tcW w:w="1232"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c>
          <w:tcPr>
            <w:tcW w:w="1231"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left w:val="single" w:color="auto" w:sz="4" w:space="0"/>
            </w:tcBorders>
            <w:noWrap/>
          </w:tcPr>
          <w:p>
            <w:pPr>
              <w:spacing w:line="320" w:lineRule="exact"/>
              <w:jc w:val="center"/>
              <w:rPr>
                <w:rFonts w:ascii="仿宋_GB2312" w:hAnsi="仿宋_GB2312" w:eastAsia="仿宋_GB2312" w:cs="仿宋_GB2312"/>
                <w:sz w:val="28"/>
                <w:szCs w:val="28"/>
              </w:rPr>
            </w:pPr>
          </w:p>
        </w:tc>
        <w:tc>
          <w:tcPr>
            <w:tcW w:w="954" w:type="dxa"/>
            <w:vMerge w:val="continue"/>
            <w:tcBorders>
              <w:top w:val="nil"/>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2445"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规范项目立项程序</w:t>
            </w:r>
          </w:p>
        </w:tc>
        <w:tc>
          <w:tcPr>
            <w:tcW w:w="1232"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逐步规范</w:t>
            </w:r>
          </w:p>
        </w:tc>
        <w:tc>
          <w:tcPr>
            <w:tcW w:w="1231"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逐步规范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left w:val="single" w:color="auto" w:sz="4"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954"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365"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2445"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服务对象满意</w:t>
            </w:r>
          </w:p>
        </w:tc>
        <w:tc>
          <w:tcPr>
            <w:tcW w:w="1232"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c>
          <w:tcPr>
            <w:tcW w:w="1231"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r>
    </w:tbl>
    <w:p>
      <w:pPr>
        <w:pStyle w:val="2"/>
        <w:spacing w:before="93"/>
      </w:pPr>
    </w:p>
    <w:p/>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
      <w:pPr>
        <w:pStyle w:val="2"/>
        <w:spacing w:before="93"/>
      </w:pPr>
    </w:p>
    <w:tbl>
      <w:tblPr>
        <w:tblStyle w:val="31"/>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209"/>
        <w:gridCol w:w="144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00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1781</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838.09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1781</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838.09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266" w:type="dxa"/>
            <w:gridSpan w:val="3"/>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1、顺庆校区道路改造； 2、东西校区电力增容；3、校史馆建设； 4、运动场翻新改造；5、高坪校区路南街家属院环境整治工程；  6、第一教学楼和世纪会堂消防改造；7、校园环境综合整治。</w:t>
            </w:r>
          </w:p>
        </w:tc>
        <w:tc>
          <w:tcPr>
            <w:tcW w:w="2961" w:type="dxa"/>
            <w:gridSpan w:val="2"/>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东西校区电力增容未完成，其他全部完成。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vMerge w:val="restart"/>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电力增容</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约2000KVA</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校园环境综合整治</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范围约1000亩内</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范围约1000亩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装饰装修</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约1000平方</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约1000平方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运动场改造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约10000平方</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约10000平方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校园道路改造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约1.5公里</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约1.5公里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消防设施改造数量</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改造安装喷淋头等</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已改造安装喷淋头等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restart"/>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装饰装修</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达到美观、整洁及统一</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达到美观、整洁及统一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电力增容</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达到安全用电</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达到安全用电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消防用水及消防设施改造效果</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达到初期预防火灾的用水</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达到初期预防火灾的用水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进度完成时间</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一年时间完成</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大部分完成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restart"/>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消防用水及消防设施改造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约57万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校园环境整治</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约420万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电力增容、户表改造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约700万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装饰装修</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约200 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运动场改造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约273.898万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tcPr>
          <w:p>
            <w:pPr>
              <w:spacing w:line="320" w:lineRule="exact"/>
              <w:jc w:val="center"/>
              <w:rPr>
                <w:rFonts w:ascii="仿宋_GB2312" w:hAnsi="仿宋_GB2312" w:eastAsia="仿宋_GB2312" w:cs="仿宋_GB2312"/>
                <w:sz w:val="28"/>
                <w:szCs w:val="28"/>
              </w:rPr>
            </w:pPr>
          </w:p>
        </w:tc>
        <w:tc>
          <w:tcPr>
            <w:tcW w:w="1798" w:type="dxa"/>
            <w:vMerge w:val="continue"/>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校园道路改造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约 130万</w:t>
            </w:r>
          </w:p>
        </w:tc>
        <w:tc>
          <w:tcPr>
            <w:tcW w:w="1513" w:type="dxa"/>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restart"/>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益</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合理规划，节约投资</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无经济效益</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vAlign w:val="center"/>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办学条件</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改善校园环境，提升办学条件</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改善校园环境，提升办学条件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vAlign w:val="center"/>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校园环境综合整治</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提升生活、居住环境</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提升生活、居住环境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noWrap/>
          </w:tcPr>
          <w:p>
            <w:pPr>
              <w:spacing w:line="320" w:lineRule="exact"/>
              <w:jc w:val="center"/>
              <w:rPr>
                <w:rFonts w:ascii="仿宋_GB2312" w:hAnsi="仿宋_GB2312" w:eastAsia="仿宋_GB2312" w:cs="仿宋_GB2312"/>
                <w:sz w:val="28"/>
                <w:szCs w:val="28"/>
              </w:rPr>
            </w:pPr>
          </w:p>
        </w:tc>
        <w:tc>
          <w:tcPr>
            <w:tcW w:w="1259" w:type="dxa"/>
            <w:vMerge w:val="continue"/>
            <w:noWrap/>
            <w:vAlign w:val="center"/>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可持续影响时间</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≥10年</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183" w:type="dxa"/>
            <w:vMerge w:val="continue"/>
            <w:tcBorders>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意</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度</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师生满意度</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r>
    </w:tbl>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tbl>
      <w:tblPr>
        <w:tblStyle w:val="31"/>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209"/>
        <w:gridCol w:w="144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00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按时完成科研，保证顺利完成验收，提高医疗科研水平。</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科研项目周期较长，预算执行慢。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8个</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8</w:t>
            </w:r>
          </w:p>
        </w:tc>
        <w:tc>
          <w:tcPr>
            <w:tcW w:w="1513" w:type="dxa"/>
            <w:tcBorders>
              <w:top w:val="single" w:color="000000" w:sz="2" w:space="0"/>
              <w:bottom w:val="single" w:color="000000" w:sz="2" w:space="0"/>
            </w:tcBorders>
            <w:noWrap/>
          </w:tcPr>
          <w:p>
            <w:pPr>
              <w:spacing w:line="320" w:lineRule="exact"/>
              <w:jc w:val="center"/>
              <w:rPr>
                <w:rFonts w:ascii="宋体" w:hAnsi="宋体" w:cs="宋体"/>
                <w:szCs w:val="21"/>
              </w:rPr>
            </w:pPr>
            <w:r>
              <w:rPr>
                <w:rFonts w:hint="eastAsia" w:ascii="宋体" w:hAnsi="宋体" w:cs="宋体"/>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完成科研项目，顺利完成验收。</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完成科研项目，顺利完成验收</w:t>
            </w:r>
          </w:p>
        </w:tc>
        <w:tc>
          <w:tcPr>
            <w:tcW w:w="1513" w:type="dxa"/>
            <w:tcBorders>
              <w:top w:val="single" w:color="000000" w:sz="2" w:space="0"/>
              <w:bottom w:val="single" w:color="000000" w:sz="2" w:space="0"/>
            </w:tcBorders>
            <w:noWrap/>
          </w:tcPr>
          <w:p>
            <w:pPr>
              <w:spacing w:line="320" w:lineRule="exact"/>
              <w:jc w:val="center"/>
              <w:rPr>
                <w:rFonts w:ascii="宋体" w:hAnsi="宋体" w:cs="宋体"/>
                <w:szCs w:val="21"/>
              </w:rPr>
            </w:pPr>
            <w:r>
              <w:rPr>
                <w:rFonts w:hint="eastAsia" w:ascii="宋体" w:hAnsi="宋体" w:cs="宋体"/>
                <w:szCs w:val="21"/>
              </w:rPr>
              <w:t>科研推进中。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按时完成科研。</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按时完成科研。</w:t>
            </w:r>
          </w:p>
        </w:tc>
        <w:tc>
          <w:tcPr>
            <w:tcW w:w="1513" w:type="dxa"/>
            <w:tcBorders>
              <w:top w:val="single" w:color="000000" w:sz="2" w:space="0"/>
              <w:bottom w:val="single" w:color="000000" w:sz="2" w:space="0"/>
            </w:tcBorders>
            <w:noWrap/>
          </w:tcPr>
          <w:p>
            <w:pPr>
              <w:spacing w:line="320" w:lineRule="exact"/>
              <w:jc w:val="center"/>
              <w:rPr>
                <w:rFonts w:ascii="宋体" w:hAnsi="宋体" w:cs="宋体"/>
                <w:szCs w:val="21"/>
              </w:rPr>
            </w:pPr>
            <w:r>
              <w:rPr>
                <w:rFonts w:hint="eastAsia" w:ascii="宋体" w:hAnsi="宋体" w:cs="宋体"/>
                <w:szCs w:val="21"/>
              </w:rPr>
              <w:t>科研推进中。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合理高效使用科研经费。</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合理高效使用科研经费。</w:t>
            </w:r>
          </w:p>
        </w:tc>
        <w:tc>
          <w:tcPr>
            <w:tcW w:w="1513" w:type="dxa"/>
            <w:tcBorders>
              <w:top w:val="single" w:color="000000" w:sz="2" w:space="0"/>
              <w:bottom w:val="single" w:color="000000" w:sz="2" w:space="0"/>
            </w:tcBorders>
            <w:noWrap/>
          </w:tcPr>
          <w:p>
            <w:pPr>
              <w:spacing w:line="320" w:lineRule="exact"/>
              <w:jc w:val="center"/>
              <w:rPr>
                <w:rFonts w:ascii="宋体" w:hAnsi="宋体" w:cs="宋体"/>
                <w:szCs w:val="21"/>
              </w:rPr>
            </w:pPr>
            <w:r>
              <w:rPr>
                <w:rFonts w:hint="eastAsia" w:ascii="宋体" w:hAnsi="宋体" w:cs="宋体"/>
                <w:szCs w:val="21"/>
              </w:rPr>
              <w:t>全年使用经费26.72万元。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无直接经济效益。</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无直接经济效益。</w:t>
            </w:r>
          </w:p>
        </w:tc>
        <w:tc>
          <w:tcPr>
            <w:tcW w:w="1513"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无直接经济效益。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提高医疗科研水平。</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提高医疗科研水平。</w:t>
            </w:r>
          </w:p>
        </w:tc>
        <w:tc>
          <w:tcPr>
            <w:tcW w:w="1513"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提高医疗科研水平。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w:t>
            </w:r>
          </w:p>
        </w:tc>
        <w:tc>
          <w:tcPr>
            <w:tcW w:w="1513"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长期</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长期</w:t>
            </w:r>
          </w:p>
        </w:tc>
        <w:tc>
          <w:tcPr>
            <w:tcW w:w="1513"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209"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达到95%</w:t>
            </w:r>
          </w:p>
        </w:tc>
        <w:tc>
          <w:tcPr>
            <w:tcW w:w="1448"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达到95%</w:t>
            </w:r>
          </w:p>
        </w:tc>
        <w:tc>
          <w:tcPr>
            <w:tcW w:w="1513" w:type="dxa"/>
            <w:tcBorders>
              <w:top w:val="single" w:color="000000" w:sz="2" w:space="0"/>
              <w:bottom w:val="single" w:color="000000" w:sz="2" w:space="0"/>
            </w:tcBorders>
            <w:noWrap/>
            <w:vAlign w:val="center"/>
          </w:tcPr>
          <w:p>
            <w:pPr>
              <w:spacing w:line="320" w:lineRule="exact"/>
              <w:jc w:val="center"/>
              <w:rPr>
                <w:rFonts w:ascii="宋体" w:hAnsi="宋体" w:cs="宋体"/>
                <w:szCs w:val="21"/>
              </w:rPr>
            </w:pPr>
            <w:r>
              <w:rPr>
                <w:rFonts w:hint="eastAsia" w:ascii="宋体" w:hAnsi="宋体" w:cs="宋体"/>
                <w:szCs w:val="21"/>
              </w:rPr>
              <w:t>达到95%</w:t>
            </w:r>
          </w:p>
        </w:tc>
      </w:tr>
    </w:tbl>
    <w:p/>
    <w:p/>
    <w:p/>
    <w:p/>
    <w:p/>
    <w:p>
      <w:pPr>
        <w:pStyle w:val="2"/>
        <w:spacing w:before="93"/>
      </w:pPr>
    </w:p>
    <w:p>
      <w:pPr>
        <w:pStyle w:val="2"/>
        <w:spacing w:before="93"/>
      </w:pPr>
    </w:p>
    <w:tbl>
      <w:tblPr>
        <w:tblStyle w:val="31"/>
        <w:tblpPr w:leftFromText="180" w:rightFromText="180" w:vertAnchor="text" w:horzAnchor="page" w:tblpX="965" w:tblpY="-5428"/>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209"/>
        <w:gridCol w:w="144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00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868.78</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868.78</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868.78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按时购买合格货物设备，提升我校科研条件。</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6批次</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合格产品</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2021年完成政府采购</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年底完成</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专用设备购置成本</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按实际成本采购</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按实际成本采购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提升科研条件</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1513"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无直接社会效益指标</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c>
          <w:tcPr>
            <w:tcW w:w="1513"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环保无污染</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无污染</w:t>
            </w:r>
          </w:p>
        </w:tc>
        <w:tc>
          <w:tcPr>
            <w:tcW w:w="1513"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w:t>
            </w:r>
          </w:p>
        </w:tc>
        <w:tc>
          <w:tcPr>
            <w:tcW w:w="1513"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209"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师生满意</w:t>
            </w:r>
          </w:p>
        </w:tc>
        <w:tc>
          <w:tcPr>
            <w:tcW w:w="144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1513"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
      <w:pPr>
        <w:pStyle w:val="2"/>
        <w:spacing w:before="93"/>
      </w:pPr>
    </w:p>
    <w:tbl>
      <w:tblPr>
        <w:tblStyle w:val="31"/>
        <w:tblpPr w:leftFromText="180" w:rightFromText="180" w:vertAnchor="text" w:horzAnchor="page" w:tblpX="1549" w:tblpY="292"/>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209"/>
        <w:gridCol w:w="144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007"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266"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保障学校正常运转。</w:t>
            </w:r>
          </w:p>
        </w:tc>
        <w:tc>
          <w:tcPr>
            <w:tcW w:w="2961"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年度绩效指标完 成情况</w:t>
            </w: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20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44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840</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840万</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保障学校运转。</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保障学校正常运转。</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保障学校正常运转。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2021年底完成</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2021年底完成</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根据市场行情采购。</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根据市场行情采购。</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根据市场行情采购。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环保无污染。</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环保无污染。</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可持续1年</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1年</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209"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师生满意度</w:t>
            </w:r>
          </w:p>
        </w:tc>
        <w:tc>
          <w:tcPr>
            <w:tcW w:w="1448"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r>
    </w:tbl>
    <w:p/>
    <w:p>
      <w:pPr>
        <w:pStyle w:val="2"/>
        <w:spacing w:before="93"/>
      </w:pPr>
    </w:p>
    <w:p>
      <w:pPr>
        <w:pStyle w:val="2"/>
        <w:spacing w:before="93"/>
      </w:pPr>
    </w:p>
    <w:p>
      <w:pPr>
        <w:pStyle w:val="2"/>
        <w:spacing w:before="93"/>
      </w:pPr>
    </w:p>
    <w:p>
      <w:pPr>
        <w:spacing w:line="320" w:lineRule="exact"/>
        <w:jc w:val="center"/>
      </w:pPr>
    </w:p>
    <w:tbl>
      <w:tblPr>
        <w:tblStyle w:val="31"/>
        <w:tblpPr w:leftFromText="180" w:rightFromText="180" w:vertAnchor="text" w:horzAnchor="page" w:tblpX="1629" w:tblpY="-31"/>
        <w:tblOverlap w:val="never"/>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1259"/>
        <w:gridCol w:w="1798"/>
        <w:gridCol w:w="1467"/>
        <w:gridCol w:w="1190"/>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442"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主管部门及代码</w:t>
            </w:r>
          </w:p>
        </w:tc>
        <w:tc>
          <w:tcPr>
            <w:tcW w:w="3265"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304-四川省教育厅</w:t>
            </w:r>
          </w:p>
        </w:tc>
        <w:tc>
          <w:tcPr>
            <w:tcW w:w="119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实施单位</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川北医学院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42" w:type="dxa"/>
            <w:gridSpan w:val="2"/>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项目预算</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执行情况</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预算数:</w:t>
            </w:r>
          </w:p>
        </w:tc>
        <w:tc>
          <w:tcPr>
            <w:tcW w:w="146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282</w:t>
            </w:r>
          </w:p>
        </w:tc>
        <w:tc>
          <w:tcPr>
            <w:tcW w:w="119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执行数:</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442" w:type="dxa"/>
            <w:gridSpan w:val="2"/>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46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282</w:t>
            </w:r>
          </w:p>
        </w:tc>
        <w:tc>
          <w:tcPr>
            <w:tcW w:w="119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财政拨款</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42" w:type="dxa"/>
            <w:gridSpan w:val="2"/>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46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19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其他资金</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183"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年度总体目标 完成情况</w:t>
            </w:r>
          </w:p>
        </w:tc>
        <w:tc>
          <w:tcPr>
            <w:tcW w:w="4524" w:type="dxa"/>
            <w:gridSpan w:val="3"/>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预期目标</w:t>
            </w:r>
          </w:p>
        </w:tc>
        <w:tc>
          <w:tcPr>
            <w:tcW w:w="2703" w:type="dxa"/>
            <w:gridSpan w:val="2"/>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4524" w:type="dxa"/>
            <w:gridSpan w:val="3"/>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基本建立具有中国特色的权责清晰、管理科学、治理完善、运行高效、监督有力的现代医院管理制度</w:t>
            </w:r>
          </w:p>
        </w:tc>
        <w:tc>
          <w:tcPr>
            <w:tcW w:w="2703" w:type="dxa"/>
            <w:gridSpan w:val="2"/>
            <w:tcBorders>
              <w:top w:val="single" w:color="000000" w:sz="2" w:space="0"/>
              <w:bottom w:val="single" w:color="000000" w:sz="2" w:space="0"/>
            </w:tcBorders>
            <w:noWrap/>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基本建立具有中国特色的权责清晰、管理科学、治理完善、运行高效、监督有力的现代医院管理制度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nil"/>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467"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190"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预期指标值</w:t>
            </w:r>
          </w:p>
        </w:tc>
        <w:tc>
          <w:tcPr>
            <w:tcW w:w="1513"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nil"/>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完成</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指标</w:t>
            </w:r>
          </w:p>
        </w:tc>
        <w:tc>
          <w:tcPr>
            <w:tcW w:w="1798" w:type="dxa"/>
            <w:tcBorders>
              <w:top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医疗服务收入（不含药品、耗材、检查、化验收入）占公立医院医疗收入的比例</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有提高</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质量指标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三级公立医院出院患者手术占比</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有提高</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时效指标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2021年年底完成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成本指标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公立医院百元医疗收入的医疗支出（不含药品收入〉</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restart"/>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效益指标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经济效益指标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无经济效益</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无经济效益</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社会效益指标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三级公立医院门诊人次数与出院人次数</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生态效益指标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无污染</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无污染</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183" w:type="dxa"/>
            <w:vMerge w:val="continue"/>
            <w:tcBorders>
              <w:top w:val="nil"/>
              <w:bottom w:val="nil"/>
            </w:tcBorders>
            <w:noWrap/>
          </w:tcPr>
          <w:p>
            <w:pPr>
              <w:spacing w:line="320" w:lineRule="exact"/>
              <w:jc w:val="center"/>
              <w:rPr>
                <w:rFonts w:ascii="仿宋_GB2312" w:hAnsi="仿宋_GB2312" w:eastAsia="仿宋_GB2312" w:cs="仿宋_GB2312"/>
                <w:sz w:val="28"/>
                <w:szCs w:val="28"/>
              </w:rPr>
            </w:pPr>
          </w:p>
        </w:tc>
        <w:tc>
          <w:tcPr>
            <w:tcW w:w="1259" w:type="dxa"/>
            <w:vMerge w:val="continue"/>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可持续影响指标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三级公立医院万元收入能耗支出</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83" w:type="dxa"/>
            <w:vMerge w:val="continue"/>
            <w:tcBorders>
              <w:top w:val="nil"/>
              <w:bottom w:val="single" w:color="000000" w:sz="2" w:space="0"/>
            </w:tcBorders>
            <w:noWrap/>
          </w:tcPr>
          <w:p>
            <w:pPr>
              <w:spacing w:line="320" w:lineRule="exact"/>
              <w:jc w:val="center"/>
              <w:rPr>
                <w:rFonts w:ascii="仿宋_GB2312" w:hAnsi="仿宋_GB2312" w:eastAsia="仿宋_GB2312" w:cs="仿宋_GB2312"/>
                <w:sz w:val="28"/>
                <w:szCs w:val="28"/>
              </w:rPr>
            </w:pPr>
          </w:p>
        </w:tc>
        <w:tc>
          <w:tcPr>
            <w:tcW w:w="1259" w:type="dxa"/>
            <w:tcBorders>
              <w:top w:val="single" w:color="000000" w:sz="2" w:space="0"/>
              <w:bottom w:val="single" w:color="000000" w:sz="2" w:space="0"/>
            </w:tcBorders>
            <w:noWrap/>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 度指标</w:t>
            </w:r>
          </w:p>
        </w:tc>
        <w:tc>
          <w:tcPr>
            <w:tcW w:w="1798" w:type="dxa"/>
            <w:tcBorders>
              <w:top w:val="single" w:color="000000" w:sz="2" w:space="0"/>
              <w:bottom w:val="single" w:color="000000" w:sz="2" w:space="0"/>
            </w:tcBorders>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满意度指标</w:t>
            </w:r>
          </w:p>
        </w:tc>
        <w:tc>
          <w:tcPr>
            <w:tcW w:w="1467"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公立医院职工、公立医院住院患者满意度</w:t>
            </w:r>
          </w:p>
        </w:tc>
        <w:tc>
          <w:tcPr>
            <w:tcW w:w="1190"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c>
          <w:tcPr>
            <w:tcW w:w="1513" w:type="dxa"/>
            <w:tcBorders>
              <w:top w:val="single" w:color="000000" w:sz="2" w:space="0"/>
              <w:bottom w:val="single" w:color="000000" w:sz="2" w:space="0"/>
            </w:tcBorders>
            <w:noWrap/>
            <w:vAlign w:val="center"/>
          </w:tcPr>
          <w:p>
            <w:pPr>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90%</w:t>
            </w:r>
          </w:p>
        </w:tc>
      </w:tr>
    </w:tbl>
    <w:p>
      <w:pPr>
        <w:spacing w:line="600" w:lineRule="exact"/>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pPr>
        <w:pStyle w:val="4"/>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pPr>
        <w:pStyle w:val="4"/>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pPr>
        <w:pStyle w:val="4"/>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401D306"/>
    <w:multiLevelType w:val="singleLevel"/>
    <w:tmpl w:val="F401D306"/>
    <w:lvl w:ilvl="0" w:tentative="0">
      <w:start w:val="2"/>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26BBC50"/>
    <w:multiLevelType w:val="singleLevel"/>
    <w:tmpl w:val="426BBC50"/>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DRhMWM5NzgyM2M2NDljMjlkMzcwMGI2YzJmN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3441"/>
    <w:rsid w:val="00196687"/>
    <w:rsid w:val="001C0962"/>
    <w:rsid w:val="001D7531"/>
    <w:rsid w:val="001E737D"/>
    <w:rsid w:val="001F0592"/>
    <w:rsid w:val="001F7506"/>
    <w:rsid w:val="002006CD"/>
    <w:rsid w:val="00202B36"/>
    <w:rsid w:val="00204B7A"/>
    <w:rsid w:val="00204CDE"/>
    <w:rsid w:val="0021101A"/>
    <w:rsid w:val="00220536"/>
    <w:rsid w:val="00235629"/>
    <w:rsid w:val="00260301"/>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23EE"/>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54FA8"/>
    <w:rsid w:val="0212135C"/>
    <w:rsid w:val="03253AFD"/>
    <w:rsid w:val="063522A9"/>
    <w:rsid w:val="06B84C89"/>
    <w:rsid w:val="07576EC5"/>
    <w:rsid w:val="08F90DA4"/>
    <w:rsid w:val="093A43FF"/>
    <w:rsid w:val="0A122902"/>
    <w:rsid w:val="0A2032A3"/>
    <w:rsid w:val="0B253319"/>
    <w:rsid w:val="0B8A37D8"/>
    <w:rsid w:val="10881780"/>
    <w:rsid w:val="10C055FF"/>
    <w:rsid w:val="118107EC"/>
    <w:rsid w:val="11DD6519"/>
    <w:rsid w:val="12C54916"/>
    <w:rsid w:val="12D567B6"/>
    <w:rsid w:val="16BB723D"/>
    <w:rsid w:val="18015F3F"/>
    <w:rsid w:val="18F95331"/>
    <w:rsid w:val="1B416BD5"/>
    <w:rsid w:val="1BE8440E"/>
    <w:rsid w:val="1D155CEE"/>
    <w:rsid w:val="1F8D7980"/>
    <w:rsid w:val="20F57F95"/>
    <w:rsid w:val="240371BF"/>
    <w:rsid w:val="24AB7F1B"/>
    <w:rsid w:val="24BF5CBD"/>
    <w:rsid w:val="25C741E6"/>
    <w:rsid w:val="27842671"/>
    <w:rsid w:val="29671ECA"/>
    <w:rsid w:val="29FD04D3"/>
    <w:rsid w:val="2ABE7A3E"/>
    <w:rsid w:val="2CE43446"/>
    <w:rsid w:val="2EFA178C"/>
    <w:rsid w:val="30B46D73"/>
    <w:rsid w:val="312C41DD"/>
    <w:rsid w:val="319F7F4E"/>
    <w:rsid w:val="321E5EA1"/>
    <w:rsid w:val="359C59D5"/>
    <w:rsid w:val="36F81565"/>
    <w:rsid w:val="37E77C91"/>
    <w:rsid w:val="38DD3F57"/>
    <w:rsid w:val="39AE70AB"/>
    <w:rsid w:val="3B6A75F8"/>
    <w:rsid w:val="3BA608E5"/>
    <w:rsid w:val="3C0C0783"/>
    <w:rsid w:val="3DAF30EC"/>
    <w:rsid w:val="3DE37BD4"/>
    <w:rsid w:val="3E261548"/>
    <w:rsid w:val="3F9F3A96"/>
    <w:rsid w:val="4091466C"/>
    <w:rsid w:val="4213453D"/>
    <w:rsid w:val="4316528C"/>
    <w:rsid w:val="48084421"/>
    <w:rsid w:val="48F055E1"/>
    <w:rsid w:val="493C27E9"/>
    <w:rsid w:val="496F39ED"/>
    <w:rsid w:val="49857103"/>
    <w:rsid w:val="49FF41D3"/>
    <w:rsid w:val="4BE068DB"/>
    <w:rsid w:val="4BF6002B"/>
    <w:rsid w:val="4ECE2238"/>
    <w:rsid w:val="50FD51AA"/>
    <w:rsid w:val="511961D4"/>
    <w:rsid w:val="51DB4B86"/>
    <w:rsid w:val="52CC5AC9"/>
    <w:rsid w:val="5488491F"/>
    <w:rsid w:val="55333C3E"/>
    <w:rsid w:val="55D75031"/>
    <w:rsid w:val="55FB7B9D"/>
    <w:rsid w:val="5837528E"/>
    <w:rsid w:val="59F27175"/>
    <w:rsid w:val="5AD17A14"/>
    <w:rsid w:val="5AF66535"/>
    <w:rsid w:val="5B9D5EC3"/>
    <w:rsid w:val="5D566B67"/>
    <w:rsid w:val="64CA39A1"/>
    <w:rsid w:val="68300C9D"/>
    <w:rsid w:val="6C4A05C8"/>
    <w:rsid w:val="6DA85BDA"/>
    <w:rsid w:val="6FB40799"/>
    <w:rsid w:val="72734D90"/>
    <w:rsid w:val="728C0BC1"/>
    <w:rsid w:val="772779D1"/>
    <w:rsid w:val="79E7B28D"/>
    <w:rsid w:val="7BFB6778"/>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caption"/>
    <w:basedOn w:val="1"/>
    <w:next w:val="1"/>
    <w:semiHidden/>
    <w:unhideWhenUsed/>
    <w:qFormat/>
    <w:uiPriority w:val="35"/>
    <w:rPr>
      <w:rFonts w:ascii="Arial" w:hAnsi="Arial" w:eastAsia="黑体"/>
      <w:sz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64998\Desktop\2021&#2418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收、支决算总计情况变动图</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[工作簿1]Sheet1!$B$1:$C$1</c:f>
              <c:strCache>
                <c:ptCount val="2"/>
                <c:pt idx="0">
                  <c:v>总收入</c:v>
                </c:pt>
                <c:pt idx="1">
                  <c:v>总支出</c:v>
                </c:pt>
              </c:strCache>
            </c:strRef>
          </c:cat>
          <c:val>
            <c:numRef>
              <c:f>[工作簿1]Sheet1!$B$2:$C$2</c:f>
              <c:numCache>
                <c:formatCode>General</c:formatCode>
                <c:ptCount val="2"/>
                <c:pt idx="0">
                  <c:v>54400.96</c:v>
                </c:pt>
                <c:pt idx="1">
                  <c:v>54547.73</c:v>
                </c:pt>
              </c:numCache>
            </c:numRef>
          </c:val>
        </c:ser>
        <c:ser>
          <c:idx val="1"/>
          <c:order val="1"/>
          <c:tx>
            <c:strRef>
              <c:f>[工作簿1]Sheet1!$A$3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[工作簿1]Sheet1!$B$1:$C$1</c:f>
              <c:strCache>
                <c:ptCount val="2"/>
                <c:pt idx="0">
                  <c:v>总收入</c:v>
                </c:pt>
                <c:pt idx="1">
                  <c:v>总支出</c:v>
                </c:pt>
              </c:strCache>
            </c:strRef>
          </c:cat>
          <c:val>
            <c:numRef>
              <c:f>[工作簿1]Sheet1!$B$3:$C$3</c:f>
              <c:numCache>
                <c:formatCode>General</c:formatCode>
                <c:ptCount val="2"/>
                <c:pt idx="0">
                  <c:v>57986.61</c:v>
                </c:pt>
                <c:pt idx="1">
                  <c:v>62971.51</c:v>
                </c:pt>
              </c:numCache>
            </c:numRef>
          </c:val>
        </c:ser>
        <c:dLbls>
          <c:showLegendKey val="0"/>
          <c:showVal val="1"/>
          <c:showCatName val="0"/>
          <c:showSerName val="0"/>
          <c:showPercent val="0"/>
          <c:showBubbleSize val="0"/>
        </c:dLbls>
        <c:gapWidth val="219"/>
        <c:overlap val="-27"/>
        <c:axId val="262735744"/>
        <c:axId val="262737280"/>
      </c:barChart>
      <c:catAx>
        <c:axId val="2627357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737280"/>
        <c:crosses val="autoZero"/>
        <c:auto val="1"/>
        <c:lblAlgn val="ctr"/>
        <c:lblOffset val="100"/>
        <c:noMultiLvlLbl val="0"/>
      </c:catAx>
      <c:valAx>
        <c:axId val="262737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735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a:t>
            </a:r>
            <a:r>
              <a:t>收入决算结构图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rPr sz="1200" u="none" strike="noStrike" cap="none" normalizeH="0">
                        <a:solidFill>
                          <a:schemeClr val="tx1">
                            <a:lumMod val="75000"/>
                            <a:lumOff val="25000"/>
                          </a:schemeClr>
                        </a:solidFill>
                        <a:uFill>
                          <a:solidFill>
                            <a:schemeClr val="tx1">
                              <a:lumMod val="75000"/>
                              <a:lumOff val="25000"/>
                            </a:schemeClr>
                          </a:solidFill>
                        </a:uFill>
                      </a:rPr>
                      <a:t>11086.92</a:t>
                    </a:r>
                    <a:endParaRPr sz="1200" u="none" strike="noStrike" cap="none" normalizeH="0">
                      <a:solidFill>
                        <a:schemeClr val="tx1">
                          <a:lumMod val="75000"/>
                          <a:lumOff val="25000"/>
                        </a:schemeClr>
                      </a:solidFill>
                      <a:uFill>
                        <a:solidFill>
                          <a:schemeClr val="tx1">
                            <a:lumMod val="75000"/>
                            <a:lumOff val="25000"/>
                          </a:schemeClr>
                        </a:solidFill>
                      </a:uFill>
                    </a:endParaRP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397148003893133"/>
                  <c:y val="0.1353603846751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[工作簿1]Sheet1!$A$27:$A$29</c:f>
              <c:strCache>
                <c:ptCount val="3"/>
                <c:pt idx="0">
                  <c:v>一般公共预算财政拨款收入</c:v>
                </c:pt>
                <c:pt idx="1">
                  <c:v>事业收入</c:v>
                </c:pt>
                <c:pt idx="2">
                  <c:v>其他收入</c:v>
                </c:pt>
              </c:strCache>
            </c:strRef>
          </c:cat>
          <c:val>
            <c:numRef>
              <c:f>[工作簿1]Sheet1!$B$27:$B$29</c:f>
              <c:numCache>
                <c:formatCode>General</c:formatCode>
                <c:ptCount val="3"/>
                <c:pt idx="0">
                  <c:v>40754.54</c:v>
                </c:pt>
                <c:pt idx="1">
                  <c:v>11086.92</c:v>
                </c:pt>
                <c:pt idx="2">
                  <c:v>6145.15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a:t>
            </a:r>
            <a:r>
              <a:t>支出决算结构图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56894302615508"/>
                  <c:y val="-0.0817604222729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0787201065456"/>
                  <c:y val="0.09117263925938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[工作簿1]Sheet1!$A$53:$A$54</c:f>
              <c:strCache>
                <c:ptCount val="2"/>
                <c:pt idx="0">
                  <c:v>基本支出</c:v>
                </c:pt>
                <c:pt idx="1">
                  <c:v>项目支出</c:v>
                </c:pt>
              </c:strCache>
            </c:strRef>
          </c:cat>
          <c:val>
            <c:numRef>
              <c:f>[工作簿1]Sheet1!$B$53:$B$54</c:f>
              <c:numCache>
                <c:formatCode>0.00%</c:formatCode>
                <c:ptCount val="2"/>
                <c:pt idx="0">
                  <c:v>0.6115</c:v>
                </c:pt>
                <c:pt idx="1">
                  <c:v>0.3885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[工作簿1]Sheet1!$A$75</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[工作簿1]Sheet1!$B$74:$C$74</c:f>
              <c:strCache>
                <c:ptCount val="2"/>
                <c:pt idx="0">
                  <c:v>财政拨款收入</c:v>
                </c:pt>
                <c:pt idx="1">
                  <c:v>财政拨款支出</c:v>
                </c:pt>
              </c:strCache>
            </c:strRef>
          </c:cat>
          <c:val>
            <c:numRef>
              <c:f>[工作簿1]Sheet1!$B$75:$C$75</c:f>
              <c:numCache>
                <c:formatCode>General</c:formatCode>
                <c:ptCount val="2"/>
                <c:pt idx="0">
                  <c:v>37382.42</c:v>
                </c:pt>
                <c:pt idx="1">
                  <c:v>37382.42</c:v>
                </c:pt>
              </c:numCache>
            </c:numRef>
          </c:val>
        </c:ser>
        <c:ser>
          <c:idx val="1"/>
          <c:order val="1"/>
          <c:tx>
            <c:strRef>
              <c:f>[工作簿1]Sheet1!$A$76</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[工作簿1]Sheet1!$B$74:$C$74</c:f>
              <c:strCache>
                <c:ptCount val="2"/>
                <c:pt idx="0">
                  <c:v>财政拨款收入</c:v>
                </c:pt>
                <c:pt idx="1">
                  <c:v>财政拨款支出</c:v>
                </c:pt>
              </c:strCache>
            </c:strRef>
          </c:cat>
          <c:val>
            <c:numRef>
              <c:f>[工作簿1]Sheet1!$B$76:$C$76</c:f>
              <c:numCache>
                <c:formatCode>General</c:formatCode>
                <c:ptCount val="2"/>
                <c:pt idx="0">
                  <c:v>40754.54</c:v>
                </c:pt>
                <c:pt idx="1">
                  <c:v>40754.54</c:v>
                </c:pt>
              </c:numCache>
            </c:numRef>
          </c:val>
        </c:ser>
        <c:dLbls>
          <c:showLegendKey val="0"/>
          <c:showVal val="1"/>
          <c:showCatName val="0"/>
          <c:showSerName val="0"/>
          <c:showPercent val="0"/>
          <c:showBubbleSize val="0"/>
        </c:dLbls>
        <c:gapWidth val="219"/>
        <c:overlap val="-27"/>
        <c:axId val="262854528"/>
        <c:axId val="262856064"/>
      </c:barChart>
      <c:catAx>
        <c:axId val="2628545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856064"/>
        <c:crosses val="autoZero"/>
        <c:auto val="1"/>
        <c:lblAlgn val="ctr"/>
        <c:lblOffset val="100"/>
        <c:noMultiLvlLbl val="0"/>
      </c:catAx>
      <c:valAx>
        <c:axId val="262856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854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50555555555556"/>
          <c:y val="0.025"/>
        </c:manualLayout>
      </c:layout>
      <c:overlay val="0"/>
      <c:spPr>
        <a:noFill/>
        <a:ln>
          <a:noFill/>
        </a:ln>
        <a:effectLst/>
      </c:spPr>
    </c:title>
    <c:autoTitleDeleted val="0"/>
    <c:plotArea>
      <c:layout/>
      <c:barChart>
        <c:barDir val="col"/>
        <c:grouping val="clustered"/>
        <c:varyColors val="0"/>
        <c:ser>
          <c:idx val="0"/>
          <c:order val="0"/>
          <c:tx>
            <c:strRef>
              <c:f>[工作簿1]Sheet1!$B$102</c:f>
              <c:strCache>
                <c:ptCount val="1"/>
                <c:pt idx="0">
                  <c:v>一般公共预算财政拨款支出</c:v>
                </c:pt>
              </c:strCache>
            </c:strRef>
          </c:tx>
          <c:spPr>
            <a:solidFill>
              <a:schemeClr val="accent1"/>
            </a:solidFill>
            <a:ln>
              <a:noFill/>
            </a:ln>
            <a:effectLst/>
          </c:spPr>
          <c:invertIfNegative val="0"/>
          <c:dLbls>
            <c:dLbl>
              <c:idx val="0"/>
              <c:layout>
                <c:manualLayout>
                  <c:x val="-0.00166666666666667"/>
                  <c:y val="0.002512562814070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666666666667"/>
                  <c:y val="0.015075376884422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[工作簿1]Sheet1!$A$103:$A$104</c:f>
              <c:strCache>
                <c:ptCount val="2"/>
                <c:pt idx="0">
                  <c:v>2020年</c:v>
                </c:pt>
                <c:pt idx="1">
                  <c:v>2021年</c:v>
                </c:pt>
              </c:strCache>
            </c:strRef>
          </c:cat>
          <c:val>
            <c:numRef>
              <c:f>[工作簿1]Sheet1!$B$103:$B$104</c:f>
              <c:numCache>
                <c:formatCode>General</c:formatCode>
                <c:ptCount val="2"/>
                <c:pt idx="0">
                  <c:v>37382.42</c:v>
                </c:pt>
                <c:pt idx="1">
                  <c:v>40754.54</c:v>
                </c:pt>
              </c:numCache>
            </c:numRef>
          </c:val>
        </c:ser>
        <c:dLbls>
          <c:showLegendKey val="0"/>
          <c:showVal val="1"/>
          <c:showCatName val="0"/>
          <c:showSerName val="0"/>
          <c:showPercent val="0"/>
          <c:showBubbleSize val="0"/>
        </c:dLbls>
        <c:gapWidth val="219"/>
        <c:overlap val="-17"/>
        <c:axId val="262893568"/>
        <c:axId val="262895104"/>
      </c:barChart>
      <c:catAx>
        <c:axId val="2628935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895104"/>
        <c:crosses val="autoZero"/>
        <c:auto val="1"/>
        <c:lblAlgn val="ctr"/>
        <c:lblOffset val="100"/>
        <c:noMultiLvlLbl val="0"/>
      </c:catAx>
      <c:valAx>
        <c:axId val="262895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89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23822588020119"/>
          <c:y val="0.854545454545454"/>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gradFill>
                <a:gsLst>
                  <a:gs pos="0">
                    <a:srgbClr val="FE4444"/>
                  </a:gs>
                  <a:gs pos="100000">
                    <a:srgbClr val="832B2B"/>
                  </a:gs>
                </a:gsLst>
                <a:path path="circle"/>
              </a:gradFill>
              <a:ln w="19050">
                <a:solidFill>
                  <a:schemeClr val="lt1"/>
                </a:solidFill>
              </a:ln>
              <a:effectLst/>
            </c:spPr>
          </c:dPt>
          <c:dLbls>
            <c:dLbl>
              <c:idx val="0"/>
              <c:layout>
                <c:manualLayout>
                  <c:x val="0.0448317645913658"/>
                  <c:y val="-0.312576327033426"/>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1"/>
              <c:layout>
                <c:manualLayout>
                  <c:x val="-0.0145732849201629"/>
                  <c:y val="-0.0178944429739384"/>
                </c:manualLayout>
              </c:layout>
              <c:dLblPos val="bestFit"/>
              <c:showLegendKey val="1"/>
              <c:showVal val="1"/>
              <c:showCatName val="1"/>
              <c:showSerName val="0"/>
              <c:showPercent val="0"/>
              <c:showBubbleSize val="0"/>
              <c:extLst>
                <c:ext xmlns:c15="http://schemas.microsoft.com/office/drawing/2012/chart" uri="{CE6537A1-D6FC-4f65-9D91-7224C49458BB}">
                  <c15:layout>
                    <c:manualLayout>
                      <c:w val="0.26088980338363"/>
                      <c:h val="0.0968181818181818"/>
                    </c:manualLayout>
                  </c15:layout>
                </c:ext>
              </c:extLst>
            </c:dLbl>
            <c:dLbl>
              <c:idx val="2"/>
              <c:layout>
                <c:manualLayout>
                  <c:x val="-0.27215781236099"/>
                  <c:y val="0.0667510749572941"/>
                </c:manualLayout>
              </c:layout>
              <c:dLblPos val="bestFit"/>
              <c:showLegendKey val="1"/>
              <c:showVal val="1"/>
              <c:showCatName val="1"/>
              <c:showSerName val="0"/>
              <c:showPercent val="0"/>
              <c:showBubbleSize val="0"/>
              <c:extLst>
                <c:ext xmlns:c15="http://schemas.microsoft.com/office/drawing/2012/chart" uri="{CE6537A1-D6FC-4f65-9D91-7224C49458BB}">
                  <c15:layout>
                    <c:manualLayout>
                      <c:w val="0.302015661190604"/>
                      <c:h val="0.106590882102104"/>
                    </c:manualLayout>
                  </c15:layout>
                </c:ext>
              </c:extLst>
            </c:dLbl>
            <c:dLbl>
              <c:idx val="3"/>
              <c:layout>
                <c:manualLayout>
                  <c:x val="0.225714330911255"/>
                  <c:y val="-0.0197033428937464"/>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dLbl>
              <c:idx val="4"/>
              <c:layout>
                <c:manualLayout>
                  <c:x val="0.215023496960601"/>
                  <c:y val="0.059601703890798"/>
                </c:manualLayout>
              </c:layout>
              <c:dLblPos val="bestFit"/>
              <c:showLegendKey val="1"/>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1"/>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[2021年图.xlsx]Sheet1!$A$129:$A$133</c:f>
              <c:strCache>
                <c:ptCount val="5"/>
                <c:pt idx="0">
                  <c:v>教育支出（类）</c:v>
                </c:pt>
                <c:pt idx="1">
                  <c:v>科学技术（类）</c:v>
                </c:pt>
                <c:pt idx="2">
                  <c:v>社会保障和就业（类）</c:v>
                </c:pt>
                <c:pt idx="3">
                  <c:v>卫生健康支出</c:v>
                </c:pt>
                <c:pt idx="4">
                  <c:v>其他支出</c:v>
                </c:pt>
              </c:strCache>
            </c:strRef>
          </c:cat>
          <c:val>
            <c:numRef>
              <c:f>[2021年图.xlsx]Sheet1!$B$129:$B$133</c:f>
              <c:numCache>
                <c:formatCode>0.00%</c:formatCode>
                <c:ptCount val="5"/>
                <c:pt idx="0">
                  <c:v>0.985271088816117</c:v>
                </c:pt>
                <c:pt idx="1">
                  <c:v>0.000655632476774367</c:v>
                </c:pt>
                <c:pt idx="2">
                  <c:v>0.000542516244815915</c:v>
                </c:pt>
                <c:pt idx="3">
                  <c:v>0.0132478491966785</c:v>
                </c:pt>
                <c:pt idx="4">
                  <c:v>0.000282913265614089</c:v>
                </c:pt>
              </c:numCache>
            </c:numRef>
          </c:val>
        </c:ser>
        <c:dLbls>
          <c:showLegendKey val="1"/>
          <c:showVal val="1"/>
          <c:showCatName val="1"/>
          <c:showSerName val="0"/>
          <c:showPercent val="0"/>
          <c:showBubbleSize val="0"/>
          <c:showLeaderLines val="1"/>
        </c:dLbls>
        <c:firstSliceAng val="0"/>
      </c:pieChart>
      <c:spPr>
        <a:noFill/>
        <a:ln>
          <a:noFill/>
        </a:ln>
        <a:effectLst/>
      </c:spPr>
    </c:plotArea>
    <c:legend>
      <c:legendPos val="b"/>
      <c:layout>
        <c:manualLayout>
          <c:xMode val="edge"/>
          <c:yMode val="edge"/>
          <c:x val="0.0657368550743938"/>
          <c:y val="0.942040555644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2890</Words>
  <Characters>16476</Characters>
  <Lines>137</Lines>
  <Paragraphs>38</Paragraphs>
  <TotalTime>8</TotalTime>
  <ScaleCrop>false</ScaleCrop>
  <LinksUpToDate>false</LinksUpToDate>
  <CharactersWithSpaces>19328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莽莽只需要运动和酸奶就够了</cp:lastModifiedBy>
  <cp:lastPrinted>2022-11-11T09:15:00Z</cp:lastPrinted>
  <dcterms:modified xsi:type="dcterms:W3CDTF">2023-10-10T00:52:11Z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CC750FA611FB4602BA73BF0518168E13_13</vt:lpwstr>
  </property>
</Properties>
</file>